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84FE2" w14:textId="6C38C297" w:rsidR="00435B76" w:rsidRPr="006B4715" w:rsidRDefault="00435B76">
      <w:pPr>
        <w:rPr>
          <w:rFonts w:ascii="Arial" w:hAnsi="Arial" w:cs="Arial"/>
          <w:b/>
          <w:bCs/>
          <w:sz w:val="32"/>
          <w:szCs w:val="32"/>
        </w:rPr>
      </w:pPr>
      <w:r w:rsidRPr="006B4715">
        <w:rPr>
          <w:rFonts w:ascii="Arial" w:hAnsi="Arial" w:cs="Arial"/>
          <w:b/>
          <w:bCs/>
          <w:sz w:val="32"/>
          <w:szCs w:val="32"/>
        </w:rPr>
        <w:t>Magnézium + B6</w:t>
      </w:r>
    </w:p>
    <w:p w14:paraId="4D7D77AE" w14:textId="5743E25D" w:rsidR="00435B76" w:rsidRDefault="00435B76">
      <w:pPr>
        <w:rPr>
          <w:rFonts w:ascii="Arial" w:hAnsi="Arial" w:cs="Arial"/>
          <w:sz w:val="24"/>
          <w:szCs w:val="24"/>
        </w:rPr>
      </w:pPr>
      <w:r w:rsidRPr="00435B76">
        <w:rPr>
          <w:rFonts w:ascii="Arial" w:hAnsi="Arial" w:cs="Arial"/>
          <w:sz w:val="24"/>
          <w:szCs w:val="24"/>
        </w:rPr>
        <w:t>Magnézium</w:t>
      </w:r>
      <w:r>
        <w:rPr>
          <w:rFonts w:ascii="Arial" w:hAnsi="Arial" w:cs="Arial"/>
          <w:sz w:val="24"/>
          <w:szCs w:val="24"/>
        </w:rPr>
        <w:t xml:space="preserve"> neboli hořčík patří k minerálům, bez kterých se lidské tělo neobejde. </w:t>
      </w:r>
      <w:r w:rsidR="009426B8">
        <w:rPr>
          <w:rFonts w:ascii="Arial" w:hAnsi="Arial" w:cs="Arial"/>
          <w:sz w:val="24"/>
          <w:szCs w:val="24"/>
        </w:rPr>
        <w:t xml:space="preserve">Ačkoliv sehrává jednu z nejdůležitějších rolí při lidském metabolismu, jeho příjem bývá často podceňován. Nedostatek magnézia přitom může způsobit celou řadu komplikací </w:t>
      </w:r>
      <w:r w:rsidR="00631B83">
        <w:rPr>
          <w:rFonts w:ascii="Arial" w:hAnsi="Arial" w:cs="Arial"/>
          <w:sz w:val="24"/>
          <w:szCs w:val="24"/>
        </w:rPr>
        <w:t xml:space="preserve">– </w:t>
      </w:r>
      <w:r w:rsidR="009426B8">
        <w:rPr>
          <w:rFonts w:ascii="Arial" w:hAnsi="Arial" w:cs="Arial"/>
          <w:sz w:val="24"/>
          <w:szCs w:val="24"/>
        </w:rPr>
        <w:t xml:space="preserve">od bolesti svalů až po zvýšenou únavu a deprese. </w:t>
      </w:r>
      <w:r w:rsidR="00BF1C48">
        <w:rPr>
          <w:rFonts w:ascii="Arial" w:hAnsi="Arial" w:cs="Arial"/>
          <w:sz w:val="24"/>
          <w:szCs w:val="24"/>
        </w:rPr>
        <w:t>Na dostatečný příjem tohoto prvku by měli dbát především těhotné ženy, sportovci nebo osoby ve stresu, ale důležitý je rovněž při některých onemocněních. Řada na trhu dostupných doplňků stravy kombinuje hořčík s vitaminem B6, který usnadňuje vstřebávání prvku organismem.</w:t>
      </w:r>
      <w:r w:rsidR="00560DD9">
        <w:rPr>
          <w:rFonts w:ascii="Arial" w:hAnsi="Arial" w:cs="Arial"/>
          <w:sz w:val="24"/>
          <w:szCs w:val="24"/>
        </w:rPr>
        <w:t xml:space="preserve"> </w:t>
      </w:r>
      <w:r w:rsidR="008417EA">
        <w:rPr>
          <w:rFonts w:ascii="Arial" w:hAnsi="Arial" w:cs="Arial"/>
          <w:sz w:val="24"/>
          <w:szCs w:val="24"/>
        </w:rPr>
        <w:t>Na následujících řádcích se dozvíte nejdůležitější informace, které byste měli vědět o magnéziu:</w:t>
      </w:r>
    </w:p>
    <w:p w14:paraId="61651B3C" w14:textId="77777777" w:rsidR="00560DD9" w:rsidRPr="008417EA" w:rsidRDefault="008417EA" w:rsidP="008417E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17EA">
        <w:rPr>
          <w:rFonts w:ascii="Arial" w:hAnsi="Arial" w:cs="Arial"/>
          <w:sz w:val="24"/>
          <w:szCs w:val="24"/>
        </w:rPr>
        <w:t>jak</w:t>
      </w:r>
      <w:r w:rsidR="00560DD9" w:rsidRPr="008417EA">
        <w:rPr>
          <w:rFonts w:ascii="Arial" w:hAnsi="Arial" w:cs="Arial"/>
          <w:sz w:val="24"/>
          <w:szCs w:val="24"/>
        </w:rPr>
        <w:t xml:space="preserve"> </w:t>
      </w:r>
      <w:r w:rsidRPr="008417EA">
        <w:rPr>
          <w:rFonts w:ascii="Arial" w:hAnsi="Arial" w:cs="Arial"/>
          <w:sz w:val="24"/>
          <w:szCs w:val="24"/>
        </w:rPr>
        <w:t xml:space="preserve">magnézium </w:t>
      </w:r>
      <w:r w:rsidR="00560DD9" w:rsidRPr="008417EA">
        <w:rPr>
          <w:rFonts w:ascii="Arial" w:hAnsi="Arial" w:cs="Arial"/>
          <w:sz w:val="24"/>
          <w:szCs w:val="24"/>
        </w:rPr>
        <w:t>působí na lidské tělo a proč je nezbytn</w:t>
      </w:r>
      <w:r w:rsidRPr="008417EA">
        <w:rPr>
          <w:rFonts w:ascii="Arial" w:hAnsi="Arial" w:cs="Arial"/>
          <w:sz w:val="24"/>
          <w:szCs w:val="24"/>
        </w:rPr>
        <w:t>é</w:t>
      </w:r>
      <w:r w:rsidR="004F0C39">
        <w:rPr>
          <w:rFonts w:ascii="Arial" w:hAnsi="Arial" w:cs="Arial"/>
          <w:sz w:val="24"/>
          <w:szCs w:val="24"/>
        </w:rPr>
        <w:t>,</w:t>
      </w:r>
    </w:p>
    <w:p w14:paraId="7ED2C281" w14:textId="77777777" w:rsidR="00560DD9" w:rsidRPr="008417EA" w:rsidRDefault="00560DD9" w:rsidP="008417E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17EA">
        <w:rPr>
          <w:rFonts w:ascii="Arial" w:hAnsi="Arial" w:cs="Arial"/>
          <w:sz w:val="24"/>
          <w:szCs w:val="24"/>
        </w:rPr>
        <w:t xml:space="preserve">jaké je správné dávkování </w:t>
      </w:r>
      <w:r w:rsidR="008417EA" w:rsidRPr="008417EA">
        <w:rPr>
          <w:rFonts w:ascii="Arial" w:hAnsi="Arial" w:cs="Arial"/>
          <w:sz w:val="24"/>
          <w:szCs w:val="24"/>
        </w:rPr>
        <w:t>magnézia</w:t>
      </w:r>
      <w:r w:rsidR="004F0C39">
        <w:rPr>
          <w:rFonts w:ascii="Arial" w:hAnsi="Arial" w:cs="Arial"/>
          <w:sz w:val="24"/>
          <w:szCs w:val="24"/>
        </w:rPr>
        <w:t>,</w:t>
      </w:r>
    </w:p>
    <w:p w14:paraId="767CDCC6" w14:textId="77777777" w:rsidR="00560DD9" w:rsidRPr="008417EA" w:rsidRDefault="00560DD9" w:rsidP="008417E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17EA">
        <w:rPr>
          <w:rFonts w:ascii="Arial" w:hAnsi="Arial" w:cs="Arial"/>
          <w:sz w:val="24"/>
          <w:szCs w:val="24"/>
        </w:rPr>
        <w:t xml:space="preserve">co </w:t>
      </w:r>
      <w:r w:rsidR="008417EA" w:rsidRPr="008417EA">
        <w:rPr>
          <w:rFonts w:ascii="Arial" w:hAnsi="Arial" w:cs="Arial"/>
          <w:sz w:val="24"/>
          <w:szCs w:val="24"/>
        </w:rPr>
        <w:t>nám hrozí při nedostatku (nebo naopak přebytku) magnézia</w:t>
      </w:r>
      <w:r w:rsidR="004F0C39">
        <w:rPr>
          <w:rFonts w:ascii="Arial" w:hAnsi="Arial" w:cs="Arial"/>
          <w:sz w:val="24"/>
          <w:szCs w:val="24"/>
        </w:rPr>
        <w:t>,</w:t>
      </w:r>
    </w:p>
    <w:p w14:paraId="2F2E9955" w14:textId="77777777" w:rsidR="008417EA" w:rsidRPr="008417EA" w:rsidRDefault="008417EA" w:rsidP="008417E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17EA">
        <w:rPr>
          <w:rFonts w:ascii="Arial" w:hAnsi="Arial" w:cs="Arial"/>
          <w:sz w:val="24"/>
          <w:szCs w:val="24"/>
        </w:rPr>
        <w:t>jak lze magnézium získat a v jakých potravinách se vyskytuje</w:t>
      </w:r>
      <w:r w:rsidR="004F0C39">
        <w:rPr>
          <w:rFonts w:ascii="Arial" w:hAnsi="Arial" w:cs="Arial"/>
          <w:sz w:val="24"/>
          <w:szCs w:val="24"/>
        </w:rPr>
        <w:t>,</w:t>
      </w:r>
    </w:p>
    <w:p w14:paraId="29BD2008" w14:textId="77777777" w:rsidR="008417EA" w:rsidRPr="008417EA" w:rsidRDefault="008417EA" w:rsidP="008417E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17EA">
        <w:rPr>
          <w:rFonts w:ascii="Arial" w:hAnsi="Arial" w:cs="Arial"/>
          <w:sz w:val="24"/>
          <w:szCs w:val="24"/>
        </w:rPr>
        <w:t>v jakých situacích byste se měli zaměřit na příjem magnézia</w:t>
      </w:r>
      <w:r w:rsidR="004F0C39">
        <w:rPr>
          <w:rFonts w:ascii="Arial" w:hAnsi="Arial" w:cs="Arial"/>
          <w:sz w:val="24"/>
          <w:szCs w:val="24"/>
        </w:rPr>
        <w:t>.</w:t>
      </w:r>
    </w:p>
    <w:p w14:paraId="578297B0" w14:textId="77777777" w:rsidR="00BF1C48" w:rsidRDefault="00BF1C48">
      <w:pPr>
        <w:rPr>
          <w:rFonts w:ascii="Arial" w:hAnsi="Arial" w:cs="Arial"/>
          <w:sz w:val="24"/>
          <w:szCs w:val="24"/>
        </w:rPr>
      </w:pPr>
    </w:p>
    <w:p w14:paraId="48023166" w14:textId="77777777" w:rsidR="00BF1C48" w:rsidRPr="006B4715" w:rsidRDefault="00BF1C48">
      <w:pPr>
        <w:rPr>
          <w:rFonts w:ascii="Arial" w:hAnsi="Arial" w:cs="Arial"/>
          <w:b/>
          <w:bCs/>
          <w:sz w:val="28"/>
          <w:szCs w:val="28"/>
        </w:rPr>
      </w:pPr>
      <w:r w:rsidRPr="006B4715">
        <w:rPr>
          <w:rFonts w:ascii="Arial" w:hAnsi="Arial" w:cs="Arial"/>
          <w:b/>
          <w:bCs/>
          <w:sz w:val="28"/>
          <w:szCs w:val="28"/>
        </w:rPr>
        <w:t>Nezbytný pro přírodu i lidské tělo</w:t>
      </w:r>
    </w:p>
    <w:p w14:paraId="172DF691" w14:textId="77777777" w:rsidR="00F63F2F" w:rsidRDefault="008417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Magnézium (chemická značka Mg) patří k významným prvkům vyskytujícím se na naší planetě i ve vesmíru. Jedná se o lehký, stříbrolesklý kov, který je bohatě zastoupen mimo jiné v zemské kůře nebo mořské vodě. Vzhledem ke své reaktivnosti jej ovšem v přírodě nalezneme pouze ve sloučeninách. </w:t>
      </w:r>
      <w:r w:rsidR="00F63F2F">
        <w:rPr>
          <w:rFonts w:ascii="Arial" w:hAnsi="Arial" w:cs="Arial"/>
          <w:sz w:val="24"/>
          <w:szCs w:val="24"/>
        </w:rPr>
        <w:t>Tento prvek je nepostradatelný také v živé přírodě, neboť se vyskytuje v zelených rostlinách jako součást chlorofylu – barviva, které umožňuje přeměnu energie slunečního záření na energii chemických vazeb.</w:t>
      </w:r>
    </w:p>
    <w:p w14:paraId="1116F552" w14:textId="673E2073" w:rsidR="004D5BB1" w:rsidRDefault="00F63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Nejsou to ovšem pouze rostliny, které hořčík potřebují ke svému životu. Také pro živočichy včetně člověka patří magnézium mezi biogenní (živototvorné) prvky. Lidské tělo obsahuje asi 25 g hořčíku</w:t>
      </w:r>
      <w:r w:rsidR="005132EB">
        <w:rPr>
          <w:rFonts w:ascii="Arial" w:hAnsi="Arial" w:cs="Arial"/>
          <w:sz w:val="24"/>
          <w:szCs w:val="24"/>
        </w:rPr>
        <w:t>, přičemž větší polovina je uložena v kostech a menší ve svalovině či jiných měkkých tkáních. Pouze zlomek nalezneme v mimobuněčných tělních tekutinách. Ke vstřebávání magnézia dochází v tenkém střevě, přičemž tělo je schopn</w:t>
      </w:r>
      <w:r w:rsidR="004F0C39">
        <w:rPr>
          <w:rFonts w:ascii="Arial" w:hAnsi="Arial" w:cs="Arial"/>
          <w:sz w:val="24"/>
          <w:szCs w:val="24"/>
        </w:rPr>
        <w:t>o</w:t>
      </w:r>
      <w:r w:rsidR="005132EB">
        <w:rPr>
          <w:rFonts w:ascii="Arial" w:hAnsi="Arial" w:cs="Arial"/>
          <w:sz w:val="24"/>
          <w:szCs w:val="24"/>
        </w:rPr>
        <w:t xml:space="preserve"> vstřebat přibližně jen třetinu z dodaného množství – zbytek je vyloučen stolicí. Regulaci množství tohoto prvku v těle zajišťuje činnost ledvin.</w:t>
      </w:r>
      <w:r w:rsidR="00005AAA" w:rsidRPr="00005AAA">
        <w:t xml:space="preserve"> </w:t>
      </w:r>
      <w:r w:rsidR="00005AAA">
        <w:rPr>
          <w:rFonts w:ascii="Arial" w:hAnsi="Arial" w:cs="Arial"/>
          <w:sz w:val="24"/>
          <w:szCs w:val="24"/>
        </w:rPr>
        <w:t>Vstřebávání magnezia snižuje</w:t>
      </w:r>
      <w:r w:rsidR="00005AAA" w:rsidRPr="00005AAA">
        <w:rPr>
          <w:rFonts w:ascii="Arial" w:hAnsi="Arial" w:cs="Arial"/>
          <w:sz w:val="24"/>
          <w:szCs w:val="24"/>
        </w:rPr>
        <w:t xml:space="preserve"> konzumace potravin s vysokým obsahem vápníku, fosfátů, vlákniny, tuků a sacharidů</w:t>
      </w:r>
      <w:r w:rsidR="00005AAA">
        <w:rPr>
          <w:rFonts w:ascii="Arial" w:hAnsi="Arial" w:cs="Arial"/>
          <w:sz w:val="24"/>
          <w:szCs w:val="24"/>
        </w:rPr>
        <w:t>, ale také</w:t>
      </w:r>
      <w:r w:rsidR="00005AAA" w:rsidRPr="00005AAA">
        <w:rPr>
          <w:rFonts w:ascii="Arial" w:hAnsi="Arial" w:cs="Arial"/>
          <w:sz w:val="24"/>
          <w:szCs w:val="24"/>
        </w:rPr>
        <w:t xml:space="preserve"> nedostatek vitaminů B.</w:t>
      </w:r>
    </w:p>
    <w:p w14:paraId="556FBF82" w14:textId="2E79217A" w:rsidR="007C4A34" w:rsidRPr="006B4715" w:rsidRDefault="00D21049">
      <w:pPr>
        <w:rPr>
          <w:rFonts w:ascii="Arial" w:hAnsi="Arial" w:cs="Arial"/>
          <w:b/>
          <w:bCs/>
          <w:sz w:val="28"/>
          <w:szCs w:val="28"/>
        </w:rPr>
      </w:pPr>
      <w:r w:rsidRPr="006B4715">
        <w:rPr>
          <w:rFonts w:ascii="Arial" w:hAnsi="Arial" w:cs="Arial"/>
          <w:b/>
          <w:bCs/>
          <w:sz w:val="28"/>
          <w:szCs w:val="28"/>
        </w:rPr>
        <w:t>O nedostatku magnézia často nevíme</w:t>
      </w:r>
    </w:p>
    <w:p w14:paraId="3E57C8F2" w14:textId="0EC5ADE7" w:rsidR="005132EB" w:rsidRDefault="00D062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Magnézium je nezbytné pro téměř všechny buňky lidského organismu a podílí se na celé řadě procesů v těle. </w:t>
      </w:r>
      <w:r w:rsidR="004F0C39">
        <w:rPr>
          <w:rFonts w:ascii="Arial" w:hAnsi="Arial" w:cs="Arial"/>
          <w:sz w:val="24"/>
          <w:szCs w:val="24"/>
        </w:rPr>
        <w:t xml:space="preserve">Je nepostradatelné pro správné činnosti nervové soustavy i svalů, stejně jako správný stav kostí a zubů. Významnou roli hraje při energetickém metabolismu, i proto hořčík umožňuje snížit míru únavy a vyčerpání. V neposlední řadě se </w:t>
      </w:r>
      <w:r w:rsidR="004F0C39" w:rsidRPr="004F0C39">
        <w:rPr>
          <w:rFonts w:ascii="Arial" w:hAnsi="Arial" w:cs="Arial"/>
          <w:sz w:val="24"/>
          <w:szCs w:val="24"/>
        </w:rPr>
        <w:t>podílí na procesu dělení buněk a syntéze bílkovin</w:t>
      </w:r>
      <w:r w:rsidR="004F0C39">
        <w:rPr>
          <w:rFonts w:ascii="Arial" w:hAnsi="Arial" w:cs="Arial"/>
          <w:sz w:val="24"/>
          <w:szCs w:val="24"/>
        </w:rPr>
        <w:t>.</w:t>
      </w:r>
      <w:r w:rsidR="00575D62">
        <w:rPr>
          <w:rFonts w:ascii="Arial" w:hAnsi="Arial" w:cs="Arial"/>
          <w:sz w:val="24"/>
          <w:szCs w:val="24"/>
        </w:rPr>
        <w:t xml:space="preserve"> Správné stanovení </w:t>
      </w:r>
      <w:r w:rsidR="00496854">
        <w:rPr>
          <w:rFonts w:ascii="Arial" w:hAnsi="Arial" w:cs="Arial"/>
          <w:sz w:val="24"/>
          <w:szCs w:val="24"/>
        </w:rPr>
        <w:t xml:space="preserve">hladiny hořčíku v těle je poměrně problematické, neboť jeho podíl v plazmě nebo </w:t>
      </w:r>
      <w:r w:rsidR="00496854">
        <w:rPr>
          <w:rFonts w:ascii="Arial" w:hAnsi="Arial" w:cs="Arial"/>
          <w:sz w:val="24"/>
          <w:szCs w:val="24"/>
        </w:rPr>
        <w:lastRenderedPageBreak/>
        <w:t>moči nemusí být příliš vypovídající. Přesnější je určení dle množství v červených krvinkách, které ovšem nepatří k běžným lékařským vyšetřením.</w:t>
      </w:r>
    </w:p>
    <w:p w14:paraId="48C4B51E" w14:textId="649E7B1A" w:rsidR="004F0C39" w:rsidRDefault="00D210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Stále se objevují nové poznatky o významu </w:t>
      </w:r>
      <w:r w:rsidR="00B2442E">
        <w:rPr>
          <w:rFonts w:ascii="Arial" w:hAnsi="Arial" w:cs="Arial"/>
          <w:sz w:val="24"/>
          <w:szCs w:val="24"/>
        </w:rPr>
        <w:t>magnézia</w:t>
      </w:r>
      <w:r>
        <w:rPr>
          <w:rFonts w:ascii="Arial" w:hAnsi="Arial" w:cs="Arial"/>
          <w:sz w:val="24"/>
          <w:szCs w:val="24"/>
        </w:rPr>
        <w:t xml:space="preserve"> v lidském organismu</w:t>
      </w:r>
      <w:r w:rsidR="007C4A34">
        <w:rPr>
          <w:rFonts w:ascii="Arial" w:hAnsi="Arial" w:cs="Arial"/>
          <w:sz w:val="24"/>
          <w:szCs w:val="24"/>
        </w:rPr>
        <w:t xml:space="preserve">. </w:t>
      </w:r>
      <w:hyperlink r:id="rId5" w:history="1">
        <w:r w:rsidR="007C4A34" w:rsidRPr="001E0303">
          <w:rPr>
            <w:rStyle w:val="Hypertextovodkaz"/>
            <w:rFonts w:ascii="Arial" w:hAnsi="Arial" w:cs="Arial"/>
            <w:sz w:val="24"/>
            <w:szCs w:val="24"/>
          </w:rPr>
          <w:t>Nejnovější výzkumy</w:t>
        </w:r>
      </w:hyperlink>
      <w:r w:rsidR="007C4A34">
        <w:rPr>
          <w:rFonts w:ascii="Arial" w:hAnsi="Arial" w:cs="Arial"/>
          <w:sz w:val="24"/>
          <w:szCs w:val="24"/>
        </w:rPr>
        <w:t xml:space="preserve"> ukazují, že tělo si může regulovat množství v hořčíku pomocí buněčných pump, aby zabránilo šíření patogenů (např. bakterií salmonely). Hořčík je totiž klíčový pro růst bakterií v těle hostitele, a proto může mít tento objev význam pro vývoj nových léků proti patogenům. </w:t>
      </w:r>
    </w:p>
    <w:p w14:paraId="3D652B7F" w14:textId="5D0DF314" w:rsidR="004F0C39" w:rsidRPr="006B4715" w:rsidRDefault="00076704">
      <w:pPr>
        <w:rPr>
          <w:rFonts w:ascii="Arial" w:hAnsi="Arial" w:cs="Arial"/>
          <w:b/>
          <w:bCs/>
          <w:sz w:val="28"/>
          <w:szCs w:val="28"/>
        </w:rPr>
      </w:pPr>
      <w:r w:rsidRPr="006B4715">
        <w:rPr>
          <w:rFonts w:ascii="Arial" w:hAnsi="Arial" w:cs="Arial"/>
          <w:b/>
          <w:bCs/>
          <w:sz w:val="28"/>
          <w:szCs w:val="28"/>
        </w:rPr>
        <w:t>Trochu více hořčíku neuškodí</w:t>
      </w:r>
    </w:p>
    <w:p w14:paraId="6D427AAE" w14:textId="77777777" w:rsidR="00F824B5" w:rsidRDefault="009E4E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Doporučenou denní dávku (DDD) hořčíku stanovuje česká vyhláška na 375 mg.</w:t>
      </w:r>
      <w:r w:rsidR="00575D62">
        <w:rPr>
          <w:rFonts w:ascii="Arial" w:hAnsi="Arial" w:cs="Arial"/>
          <w:sz w:val="24"/>
          <w:szCs w:val="24"/>
        </w:rPr>
        <w:t xml:space="preserve"> Konkr</w:t>
      </w:r>
      <w:r w:rsidR="00496854">
        <w:rPr>
          <w:rFonts w:ascii="Arial" w:hAnsi="Arial" w:cs="Arial"/>
          <w:sz w:val="24"/>
          <w:szCs w:val="24"/>
        </w:rPr>
        <w:t xml:space="preserve">étní příjem je ovšem vhodné přizpůsobit dalším okolnostem, jako je pohlaví, věk, životní styl, zdravotní stav apod. </w:t>
      </w:r>
      <w:r w:rsidR="00F824B5">
        <w:rPr>
          <w:rFonts w:ascii="Arial" w:hAnsi="Arial" w:cs="Arial"/>
          <w:sz w:val="24"/>
          <w:szCs w:val="24"/>
        </w:rPr>
        <w:t xml:space="preserve">Zvýšený příjem magnézia je doporučován také během těhotenství, především u velmi mladých a starších žen. Naopak v průběhu kojení již není nutné dávku </w:t>
      </w:r>
      <w:r w:rsidR="001C01BE">
        <w:rPr>
          <w:rFonts w:ascii="Arial" w:hAnsi="Arial" w:cs="Arial"/>
          <w:sz w:val="24"/>
          <w:szCs w:val="24"/>
        </w:rPr>
        <w:t xml:space="preserve">výrazně </w:t>
      </w:r>
      <w:r w:rsidR="00F824B5">
        <w:rPr>
          <w:rFonts w:ascii="Arial" w:hAnsi="Arial" w:cs="Arial"/>
          <w:sz w:val="24"/>
          <w:szCs w:val="24"/>
        </w:rPr>
        <w:t>zvyšovat. Rozdíly v doporučené dávce magnézia v závislosti na pohlaví, věku a těhotenství ukazuje následující tabulka:</w:t>
      </w:r>
    </w:p>
    <w:tbl>
      <w:tblPr>
        <w:tblStyle w:val="Mkatabulky"/>
        <w:tblW w:w="0" w:type="auto"/>
        <w:tblInd w:w="1507" w:type="dxa"/>
        <w:tblLook w:val="04A0" w:firstRow="1" w:lastRow="0" w:firstColumn="1" w:lastColumn="0" w:noHBand="0" w:noVBand="1"/>
      </w:tblPr>
      <w:tblGrid>
        <w:gridCol w:w="1749"/>
        <w:gridCol w:w="1271"/>
        <w:gridCol w:w="1510"/>
        <w:gridCol w:w="1510"/>
      </w:tblGrid>
      <w:tr w:rsidR="00F824B5" w14:paraId="439BA0B7" w14:textId="77777777" w:rsidTr="001C01BE">
        <w:tc>
          <w:tcPr>
            <w:tcW w:w="1749" w:type="dxa"/>
          </w:tcPr>
          <w:p w14:paraId="2A69535B" w14:textId="77777777" w:rsidR="00F824B5" w:rsidRDefault="00F824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5AFA480" w14:textId="77777777" w:rsidR="00F824B5" w:rsidRDefault="00F82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F824B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>18 let</w:t>
            </w:r>
          </w:p>
        </w:tc>
        <w:tc>
          <w:tcPr>
            <w:tcW w:w="1510" w:type="dxa"/>
          </w:tcPr>
          <w:p w14:paraId="5E467F31" w14:textId="77777777" w:rsidR="00F824B5" w:rsidRDefault="00F82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F824B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>30 let</w:t>
            </w:r>
          </w:p>
        </w:tc>
        <w:tc>
          <w:tcPr>
            <w:tcW w:w="1510" w:type="dxa"/>
          </w:tcPr>
          <w:p w14:paraId="518A5996" w14:textId="77777777" w:rsidR="00F824B5" w:rsidRDefault="00F82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 31 let</w:t>
            </w:r>
          </w:p>
        </w:tc>
      </w:tr>
      <w:tr w:rsidR="00F824B5" w14:paraId="6BA81674" w14:textId="77777777" w:rsidTr="001C01BE">
        <w:tc>
          <w:tcPr>
            <w:tcW w:w="1749" w:type="dxa"/>
          </w:tcPr>
          <w:p w14:paraId="4471626C" w14:textId="77777777" w:rsidR="00F824B5" w:rsidRDefault="001C0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Muž</w:t>
            </w:r>
          </w:p>
        </w:tc>
        <w:tc>
          <w:tcPr>
            <w:tcW w:w="1271" w:type="dxa"/>
          </w:tcPr>
          <w:p w14:paraId="4CD9B02F" w14:textId="77777777" w:rsidR="00F824B5" w:rsidRDefault="001C0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 mg</w:t>
            </w:r>
          </w:p>
        </w:tc>
        <w:tc>
          <w:tcPr>
            <w:tcW w:w="1510" w:type="dxa"/>
          </w:tcPr>
          <w:p w14:paraId="5648EAF1" w14:textId="77777777" w:rsidR="00F824B5" w:rsidRDefault="001C0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 mg</w:t>
            </w:r>
          </w:p>
        </w:tc>
        <w:tc>
          <w:tcPr>
            <w:tcW w:w="1510" w:type="dxa"/>
          </w:tcPr>
          <w:p w14:paraId="466A00A8" w14:textId="77777777" w:rsidR="00F824B5" w:rsidRDefault="001C0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 mg</w:t>
            </w:r>
          </w:p>
        </w:tc>
      </w:tr>
      <w:tr w:rsidR="00F824B5" w14:paraId="113CD225" w14:textId="77777777" w:rsidTr="001C01BE">
        <w:tc>
          <w:tcPr>
            <w:tcW w:w="1749" w:type="dxa"/>
          </w:tcPr>
          <w:p w14:paraId="2A724FC9" w14:textId="77777777" w:rsidR="00F824B5" w:rsidRDefault="001C0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Žena</w:t>
            </w:r>
          </w:p>
        </w:tc>
        <w:tc>
          <w:tcPr>
            <w:tcW w:w="1271" w:type="dxa"/>
          </w:tcPr>
          <w:p w14:paraId="7E6B9E5E" w14:textId="77777777" w:rsidR="00F824B5" w:rsidRDefault="001C0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 mg</w:t>
            </w:r>
          </w:p>
        </w:tc>
        <w:tc>
          <w:tcPr>
            <w:tcW w:w="1510" w:type="dxa"/>
          </w:tcPr>
          <w:p w14:paraId="01A77FE0" w14:textId="77777777" w:rsidR="00F824B5" w:rsidRDefault="001C0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 mg</w:t>
            </w:r>
          </w:p>
        </w:tc>
        <w:tc>
          <w:tcPr>
            <w:tcW w:w="1510" w:type="dxa"/>
          </w:tcPr>
          <w:p w14:paraId="11E17471" w14:textId="77777777" w:rsidR="00F824B5" w:rsidRDefault="001C0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 mg</w:t>
            </w:r>
          </w:p>
        </w:tc>
      </w:tr>
      <w:tr w:rsidR="00F824B5" w14:paraId="436554AE" w14:textId="77777777" w:rsidTr="001C01BE">
        <w:tc>
          <w:tcPr>
            <w:tcW w:w="1749" w:type="dxa"/>
          </w:tcPr>
          <w:p w14:paraId="6556922B" w14:textId="77777777" w:rsidR="00F824B5" w:rsidRDefault="001C0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Těhotná žena</w:t>
            </w:r>
          </w:p>
        </w:tc>
        <w:tc>
          <w:tcPr>
            <w:tcW w:w="1271" w:type="dxa"/>
          </w:tcPr>
          <w:p w14:paraId="45327112" w14:textId="77777777" w:rsidR="00F824B5" w:rsidRDefault="001C0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 mg</w:t>
            </w:r>
          </w:p>
        </w:tc>
        <w:tc>
          <w:tcPr>
            <w:tcW w:w="1510" w:type="dxa"/>
          </w:tcPr>
          <w:p w14:paraId="3B28A1D8" w14:textId="77777777" w:rsidR="00F824B5" w:rsidRDefault="001C0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 mg</w:t>
            </w:r>
          </w:p>
        </w:tc>
        <w:tc>
          <w:tcPr>
            <w:tcW w:w="1510" w:type="dxa"/>
          </w:tcPr>
          <w:p w14:paraId="20D5C14C" w14:textId="77777777" w:rsidR="00F824B5" w:rsidRDefault="001C01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 mg</w:t>
            </w:r>
          </w:p>
        </w:tc>
      </w:tr>
    </w:tbl>
    <w:p w14:paraId="216E6969" w14:textId="77777777" w:rsidR="00F824B5" w:rsidRDefault="00F824B5">
      <w:pPr>
        <w:rPr>
          <w:rFonts w:ascii="Arial" w:hAnsi="Arial" w:cs="Arial"/>
          <w:sz w:val="24"/>
          <w:szCs w:val="24"/>
        </w:rPr>
      </w:pPr>
    </w:p>
    <w:p w14:paraId="23CE9E96" w14:textId="1325A13B" w:rsidR="001C01BE" w:rsidRDefault="00F82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výše uvedená tabulka je ovšem pouze orientační. Nadále platí, že příjem hořčíku byste měli zvýšit při projevech nedostatku tohoto </w:t>
      </w:r>
      <w:r w:rsidR="001C01BE">
        <w:rPr>
          <w:rFonts w:ascii="Arial" w:hAnsi="Arial" w:cs="Arial"/>
          <w:sz w:val="24"/>
          <w:szCs w:val="24"/>
        </w:rPr>
        <w:t>minerálu,</w:t>
      </w:r>
      <w:r>
        <w:rPr>
          <w:rFonts w:ascii="Arial" w:hAnsi="Arial" w:cs="Arial"/>
          <w:sz w:val="24"/>
          <w:szCs w:val="24"/>
        </w:rPr>
        <w:t xml:space="preserve"> a </w:t>
      </w:r>
      <w:r w:rsidR="001C01BE">
        <w:rPr>
          <w:rFonts w:ascii="Arial" w:hAnsi="Arial" w:cs="Arial"/>
          <w:sz w:val="24"/>
          <w:szCs w:val="24"/>
        </w:rPr>
        <w:t>dále také</w:t>
      </w:r>
      <w:r>
        <w:rPr>
          <w:rFonts w:ascii="Arial" w:hAnsi="Arial" w:cs="Arial"/>
          <w:sz w:val="24"/>
          <w:szCs w:val="24"/>
        </w:rPr>
        <w:t xml:space="preserve"> v případě, že </w:t>
      </w:r>
      <w:r w:rsidR="00A73BEE">
        <w:rPr>
          <w:rFonts w:ascii="Arial" w:hAnsi="Arial" w:cs="Arial"/>
          <w:sz w:val="24"/>
          <w:szCs w:val="24"/>
        </w:rPr>
        <w:t>patříte do některé z ohrožených skupin:</w:t>
      </w:r>
    </w:p>
    <w:p w14:paraId="48A6B83C" w14:textId="600AD756" w:rsidR="001C01BE" w:rsidRPr="001C01BE" w:rsidRDefault="001C01BE" w:rsidP="001C01B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01BE">
        <w:rPr>
          <w:rFonts w:ascii="Arial" w:hAnsi="Arial" w:cs="Arial"/>
          <w:sz w:val="24"/>
          <w:szCs w:val="24"/>
        </w:rPr>
        <w:t>sport a zvýšená fyzická zátěž</w:t>
      </w:r>
      <w:r w:rsidR="00F606DA">
        <w:rPr>
          <w:rFonts w:ascii="Arial" w:hAnsi="Arial" w:cs="Arial"/>
          <w:sz w:val="24"/>
          <w:szCs w:val="24"/>
        </w:rPr>
        <w:t>,</w:t>
      </w:r>
    </w:p>
    <w:p w14:paraId="3EF6A42C" w14:textId="6DD36BCF" w:rsidR="001C01BE" w:rsidRDefault="001C01BE" w:rsidP="001C01B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01BE">
        <w:rPr>
          <w:rFonts w:ascii="Arial" w:hAnsi="Arial" w:cs="Arial"/>
          <w:sz w:val="24"/>
          <w:szCs w:val="24"/>
        </w:rPr>
        <w:t>stres a zvýšená psychická zátěž</w:t>
      </w:r>
      <w:r w:rsidR="00F606DA">
        <w:rPr>
          <w:rFonts w:ascii="Arial" w:hAnsi="Arial" w:cs="Arial"/>
          <w:sz w:val="24"/>
          <w:szCs w:val="24"/>
        </w:rPr>
        <w:t>,</w:t>
      </w:r>
    </w:p>
    <w:p w14:paraId="62DBDC3C" w14:textId="5D94EA10" w:rsidR="00385821" w:rsidRPr="001C01BE" w:rsidRDefault="00385821" w:rsidP="001C01B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znečištěné životní prostředí,</w:t>
      </w:r>
    </w:p>
    <w:p w14:paraId="170505AD" w14:textId="1C80D815" w:rsidR="00F824B5" w:rsidRDefault="001C01BE" w:rsidP="001C01B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01BE">
        <w:rPr>
          <w:rFonts w:ascii="Arial" w:hAnsi="Arial" w:cs="Arial"/>
          <w:sz w:val="24"/>
          <w:szCs w:val="24"/>
        </w:rPr>
        <w:t>těhotné ženy</w:t>
      </w:r>
      <w:r w:rsidR="00F606DA">
        <w:rPr>
          <w:rFonts w:ascii="Arial" w:hAnsi="Arial" w:cs="Arial"/>
          <w:sz w:val="24"/>
          <w:szCs w:val="24"/>
        </w:rPr>
        <w:t>,</w:t>
      </w:r>
    </w:p>
    <w:p w14:paraId="36B78195" w14:textId="15EE55AE" w:rsidR="00005AAA" w:rsidRPr="001C01BE" w:rsidRDefault="00005AAA" w:rsidP="001C01B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starší 45 let</w:t>
      </w:r>
      <w:r w:rsidR="00F606DA">
        <w:rPr>
          <w:rFonts w:ascii="Arial" w:hAnsi="Arial" w:cs="Arial"/>
          <w:sz w:val="24"/>
          <w:szCs w:val="24"/>
        </w:rPr>
        <w:t>,</w:t>
      </w:r>
    </w:p>
    <w:p w14:paraId="5A74DA2B" w14:textId="2AE6A84D" w:rsidR="00385821" w:rsidRPr="00385821" w:rsidRDefault="001C01BE" w:rsidP="0038582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01BE">
        <w:rPr>
          <w:rFonts w:ascii="Arial" w:hAnsi="Arial" w:cs="Arial"/>
          <w:sz w:val="24"/>
          <w:szCs w:val="24"/>
        </w:rPr>
        <w:t>vyšší konzumace alkoholu</w:t>
      </w:r>
      <w:r w:rsidR="00F606DA">
        <w:rPr>
          <w:rFonts w:ascii="Arial" w:hAnsi="Arial" w:cs="Arial"/>
          <w:sz w:val="24"/>
          <w:szCs w:val="24"/>
        </w:rPr>
        <w:t>,</w:t>
      </w:r>
    </w:p>
    <w:p w14:paraId="60239050" w14:textId="50BF6567" w:rsidR="001C01BE" w:rsidRPr="001C01BE" w:rsidRDefault="001C01BE" w:rsidP="001C01B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01BE">
        <w:rPr>
          <w:rFonts w:ascii="Arial" w:hAnsi="Arial" w:cs="Arial"/>
          <w:sz w:val="24"/>
          <w:szCs w:val="24"/>
        </w:rPr>
        <w:t>diabetes</w:t>
      </w:r>
      <w:r w:rsidR="00F606DA">
        <w:rPr>
          <w:rFonts w:ascii="Arial" w:hAnsi="Arial" w:cs="Arial"/>
          <w:sz w:val="24"/>
          <w:szCs w:val="24"/>
        </w:rPr>
        <w:t>,</w:t>
      </w:r>
    </w:p>
    <w:p w14:paraId="4F644639" w14:textId="59A205A5" w:rsidR="001C01BE" w:rsidRPr="001C01BE" w:rsidRDefault="001C01BE" w:rsidP="001C01B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01BE">
        <w:rPr>
          <w:rFonts w:ascii="Arial" w:hAnsi="Arial" w:cs="Arial"/>
          <w:sz w:val="24"/>
          <w:szCs w:val="24"/>
        </w:rPr>
        <w:t>kardiologická onemocnění a metabolický syndrom</w:t>
      </w:r>
      <w:r w:rsidR="00F606DA">
        <w:rPr>
          <w:rFonts w:ascii="Arial" w:hAnsi="Arial" w:cs="Arial"/>
          <w:sz w:val="24"/>
          <w:szCs w:val="24"/>
        </w:rPr>
        <w:t>,</w:t>
      </w:r>
    </w:p>
    <w:p w14:paraId="54E6C788" w14:textId="37BF73FE" w:rsidR="001C01BE" w:rsidRPr="001C01BE" w:rsidRDefault="001C01BE" w:rsidP="001C01B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01BE">
        <w:rPr>
          <w:rFonts w:ascii="Arial" w:hAnsi="Arial" w:cs="Arial"/>
          <w:sz w:val="24"/>
          <w:szCs w:val="24"/>
        </w:rPr>
        <w:t>deprese a jiné psychické poruchy</w:t>
      </w:r>
      <w:r w:rsidR="00F606DA">
        <w:rPr>
          <w:rFonts w:ascii="Arial" w:hAnsi="Arial" w:cs="Arial"/>
          <w:sz w:val="24"/>
          <w:szCs w:val="24"/>
        </w:rPr>
        <w:t>,</w:t>
      </w:r>
    </w:p>
    <w:p w14:paraId="3481898B" w14:textId="02020CAC" w:rsidR="00F824B5" w:rsidRPr="001C01BE" w:rsidRDefault="001C01BE" w:rsidP="001C01B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01BE">
        <w:rPr>
          <w:rFonts w:ascii="Arial" w:hAnsi="Arial" w:cs="Arial"/>
          <w:sz w:val="24"/>
          <w:szCs w:val="24"/>
        </w:rPr>
        <w:t>poruchy trávení a činnosti ledvin</w:t>
      </w:r>
      <w:r w:rsidR="00F606DA">
        <w:rPr>
          <w:rFonts w:ascii="Arial" w:hAnsi="Arial" w:cs="Arial"/>
          <w:sz w:val="24"/>
          <w:szCs w:val="24"/>
        </w:rPr>
        <w:t>.</w:t>
      </w:r>
    </w:p>
    <w:p w14:paraId="68866ADE" w14:textId="77777777" w:rsidR="00575D62" w:rsidRDefault="00575D62">
      <w:pPr>
        <w:rPr>
          <w:rFonts w:ascii="Arial" w:hAnsi="Arial" w:cs="Arial"/>
          <w:sz w:val="24"/>
          <w:szCs w:val="24"/>
        </w:rPr>
      </w:pPr>
    </w:p>
    <w:p w14:paraId="07BEAA88" w14:textId="172D03BE" w:rsidR="00B26430" w:rsidRPr="006B4715" w:rsidRDefault="003B0FAA">
      <w:pPr>
        <w:rPr>
          <w:rFonts w:ascii="Arial" w:hAnsi="Arial" w:cs="Arial"/>
          <w:b/>
          <w:bCs/>
          <w:sz w:val="28"/>
          <w:szCs w:val="28"/>
        </w:rPr>
      </w:pPr>
      <w:r w:rsidRPr="006B4715">
        <w:rPr>
          <w:rFonts w:ascii="Arial" w:hAnsi="Arial" w:cs="Arial"/>
          <w:b/>
          <w:bCs/>
          <w:sz w:val="28"/>
          <w:szCs w:val="28"/>
        </w:rPr>
        <w:t>Jak poznat nedostatek magnézia?</w:t>
      </w:r>
    </w:p>
    <w:p w14:paraId="758140A8" w14:textId="77777777" w:rsidR="00EA2E94" w:rsidRDefault="00575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Nedostatek hořčíku</w:t>
      </w:r>
      <w:r w:rsidR="00F72A0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72A01" w:rsidRPr="00F72A01">
        <w:rPr>
          <w:rFonts w:ascii="Arial" w:hAnsi="Arial" w:cs="Arial"/>
          <w:sz w:val="24"/>
          <w:szCs w:val="24"/>
        </w:rPr>
        <w:t>hypomagnezémie</w:t>
      </w:r>
      <w:proofErr w:type="spellEnd"/>
      <w:r w:rsidR="00F72A0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se v populaci objevuje velmi často</w:t>
      </w:r>
      <w:r w:rsidR="00E9705F">
        <w:rPr>
          <w:rFonts w:ascii="Arial" w:hAnsi="Arial" w:cs="Arial"/>
          <w:sz w:val="24"/>
          <w:szCs w:val="24"/>
        </w:rPr>
        <w:t xml:space="preserve">, i když bývá obvykle přehlížen. </w:t>
      </w:r>
      <w:r w:rsidR="00E831EC">
        <w:rPr>
          <w:rFonts w:ascii="Arial" w:hAnsi="Arial" w:cs="Arial"/>
          <w:sz w:val="24"/>
          <w:szCs w:val="24"/>
        </w:rPr>
        <w:t xml:space="preserve">Může za to </w:t>
      </w:r>
      <w:r w:rsidR="00B7117E">
        <w:rPr>
          <w:rFonts w:ascii="Arial" w:hAnsi="Arial" w:cs="Arial"/>
          <w:sz w:val="24"/>
          <w:szCs w:val="24"/>
        </w:rPr>
        <w:t xml:space="preserve">i </w:t>
      </w:r>
      <w:r w:rsidR="00E831EC">
        <w:rPr>
          <w:rFonts w:ascii="Arial" w:hAnsi="Arial" w:cs="Arial"/>
          <w:sz w:val="24"/>
          <w:szCs w:val="24"/>
        </w:rPr>
        <w:t xml:space="preserve">skutečnost, že lehčí </w:t>
      </w:r>
      <w:r w:rsidR="00AE3168">
        <w:rPr>
          <w:rFonts w:ascii="Arial" w:hAnsi="Arial" w:cs="Arial"/>
          <w:sz w:val="24"/>
          <w:szCs w:val="24"/>
        </w:rPr>
        <w:t xml:space="preserve">forma </w:t>
      </w:r>
      <w:proofErr w:type="spellStart"/>
      <w:r w:rsidR="00AE3168" w:rsidRPr="00F72A01">
        <w:rPr>
          <w:rFonts w:ascii="Arial" w:hAnsi="Arial" w:cs="Arial"/>
          <w:sz w:val="24"/>
          <w:szCs w:val="24"/>
        </w:rPr>
        <w:t>hypomagnezémie</w:t>
      </w:r>
      <w:proofErr w:type="spellEnd"/>
      <w:r w:rsidR="00AE3168">
        <w:rPr>
          <w:rFonts w:ascii="Arial" w:hAnsi="Arial" w:cs="Arial"/>
          <w:sz w:val="24"/>
          <w:szCs w:val="24"/>
        </w:rPr>
        <w:t xml:space="preserve"> se neprojevuje žádnými </w:t>
      </w:r>
      <w:r w:rsidR="00865FAC">
        <w:rPr>
          <w:rFonts w:ascii="Arial" w:hAnsi="Arial" w:cs="Arial"/>
          <w:sz w:val="24"/>
          <w:szCs w:val="24"/>
        </w:rPr>
        <w:t>jednoznačnými</w:t>
      </w:r>
      <w:r w:rsidR="006A0FF2">
        <w:rPr>
          <w:rFonts w:ascii="Arial" w:hAnsi="Arial" w:cs="Arial"/>
          <w:sz w:val="24"/>
          <w:szCs w:val="24"/>
        </w:rPr>
        <w:t xml:space="preserve"> příznaky. </w:t>
      </w:r>
      <w:r w:rsidR="00EA2E94">
        <w:rPr>
          <w:rFonts w:ascii="Arial" w:hAnsi="Arial" w:cs="Arial"/>
          <w:sz w:val="24"/>
          <w:szCs w:val="24"/>
        </w:rPr>
        <w:t xml:space="preserve">Níže uvedené problémy totiž </w:t>
      </w:r>
      <w:r w:rsidR="00DF1EFF">
        <w:rPr>
          <w:rFonts w:ascii="Arial" w:hAnsi="Arial" w:cs="Arial"/>
          <w:sz w:val="24"/>
          <w:szCs w:val="24"/>
        </w:rPr>
        <w:t>mohou</w:t>
      </w:r>
      <w:r w:rsidR="0027669A">
        <w:rPr>
          <w:rFonts w:ascii="Arial" w:hAnsi="Arial" w:cs="Arial"/>
          <w:sz w:val="24"/>
          <w:szCs w:val="24"/>
        </w:rPr>
        <w:t xml:space="preserve"> mít celou řadu příčin, proto </w:t>
      </w:r>
      <w:r w:rsidR="004A613E">
        <w:rPr>
          <w:rFonts w:ascii="Arial" w:hAnsi="Arial" w:cs="Arial"/>
          <w:sz w:val="24"/>
          <w:szCs w:val="24"/>
        </w:rPr>
        <w:t xml:space="preserve">ne vždy </w:t>
      </w:r>
      <w:r w:rsidR="00340B8F">
        <w:rPr>
          <w:rFonts w:ascii="Arial" w:hAnsi="Arial" w:cs="Arial"/>
          <w:sz w:val="24"/>
          <w:szCs w:val="24"/>
        </w:rPr>
        <w:t>bývají přisuzovány právě nedostatečné</w:t>
      </w:r>
      <w:r w:rsidR="00CA611D">
        <w:rPr>
          <w:rFonts w:ascii="Arial" w:hAnsi="Arial" w:cs="Arial"/>
          <w:sz w:val="24"/>
          <w:szCs w:val="24"/>
        </w:rPr>
        <w:t>mu množství magnézia</w:t>
      </w:r>
      <w:r w:rsidR="00EA2E94">
        <w:rPr>
          <w:rFonts w:ascii="Arial" w:hAnsi="Arial" w:cs="Arial"/>
          <w:sz w:val="24"/>
          <w:szCs w:val="24"/>
        </w:rPr>
        <w:t>:</w:t>
      </w:r>
    </w:p>
    <w:p w14:paraId="75CF979A" w14:textId="23ACD5F6" w:rsidR="00EA2E94" w:rsidRPr="00F606DA" w:rsidRDefault="00EA2E94" w:rsidP="00F606D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06DA">
        <w:rPr>
          <w:rFonts w:ascii="Arial" w:hAnsi="Arial" w:cs="Arial"/>
          <w:sz w:val="24"/>
          <w:szCs w:val="24"/>
        </w:rPr>
        <w:t>bolesti hlavy</w:t>
      </w:r>
      <w:r w:rsidR="00F606DA">
        <w:rPr>
          <w:rFonts w:ascii="Arial" w:hAnsi="Arial" w:cs="Arial"/>
          <w:sz w:val="24"/>
          <w:szCs w:val="24"/>
        </w:rPr>
        <w:t>,</w:t>
      </w:r>
    </w:p>
    <w:p w14:paraId="4073A046" w14:textId="3899100B" w:rsidR="00EA2E94" w:rsidRPr="00F606DA" w:rsidRDefault="00EA2E94" w:rsidP="00F606D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06DA">
        <w:rPr>
          <w:rFonts w:ascii="Arial" w:hAnsi="Arial" w:cs="Arial"/>
          <w:sz w:val="24"/>
          <w:szCs w:val="24"/>
        </w:rPr>
        <w:lastRenderedPageBreak/>
        <w:t>podrážděnost a náladovost</w:t>
      </w:r>
      <w:r w:rsidR="00F606DA">
        <w:rPr>
          <w:rFonts w:ascii="Arial" w:hAnsi="Arial" w:cs="Arial"/>
          <w:sz w:val="24"/>
          <w:szCs w:val="24"/>
        </w:rPr>
        <w:t>,</w:t>
      </w:r>
    </w:p>
    <w:p w14:paraId="4DB22E3C" w14:textId="63094006" w:rsidR="00EA2E94" w:rsidRPr="00F606DA" w:rsidRDefault="00EA2E94" w:rsidP="00F606D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06DA">
        <w:rPr>
          <w:rFonts w:ascii="Arial" w:hAnsi="Arial" w:cs="Arial"/>
          <w:sz w:val="24"/>
          <w:szCs w:val="24"/>
        </w:rPr>
        <w:t>problémy se soustředěním</w:t>
      </w:r>
      <w:r w:rsidR="00F606DA">
        <w:rPr>
          <w:rFonts w:ascii="Arial" w:hAnsi="Arial" w:cs="Arial"/>
          <w:sz w:val="24"/>
          <w:szCs w:val="24"/>
        </w:rPr>
        <w:t>,</w:t>
      </w:r>
    </w:p>
    <w:p w14:paraId="5E18E638" w14:textId="74EA11B3" w:rsidR="00EA2E94" w:rsidRPr="00F606DA" w:rsidRDefault="00EA2E94" w:rsidP="00F606D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06DA">
        <w:rPr>
          <w:rFonts w:ascii="Arial" w:hAnsi="Arial" w:cs="Arial"/>
          <w:sz w:val="24"/>
          <w:szCs w:val="24"/>
        </w:rPr>
        <w:t>deprese</w:t>
      </w:r>
      <w:r w:rsidR="00F606DA">
        <w:rPr>
          <w:rFonts w:ascii="Arial" w:hAnsi="Arial" w:cs="Arial"/>
          <w:sz w:val="24"/>
          <w:szCs w:val="24"/>
        </w:rPr>
        <w:t>,</w:t>
      </w:r>
    </w:p>
    <w:p w14:paraId="4E0CD2A0" w14:textId="52B5F2F7" w:rsidR="00EA2E94" w:rsidRPr="00F606DA" w:rsidRDefault="00EA2E94" w:rsidP="00F606D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06DA">
        <w:rPr>
          <w:rFonts w:ascii="Arial" w:hAnsi="Arial" w:cs="Arial"/>
          <w:sz w:val="24"/>
          <w:szCs w:val="24"/>
        </w:rPr>
        <w:t>nespavost</w:t>
      </w:r>
      <w:r w:rsidR="00F606DA">
        <w:rPr>
          <w:rFonts w:ascii="Arial" w:hAnsi="Arial" w:cs="Arial"/>
          <w:sz w:val="24"/>
          <w:szCs w:val="24"/>
        </w:rPr>
        <w:t>,</w:t>
      </w:r>
    </w:p>
    <w:p w14:paraId="08CEFEF7" w14:textId="2936E026" w:rsidR="00EA2E94" w:rsidRPr="00F606DA" w:rsidRDefault="00EA2E94" w:rsidP="00F606D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06DA">
        <w:rPr>
          <w:rFonts w:ascii="Arial" w:hAnsi="Arial" w:cs="Arial"/>
          <w:sz w:val="24"/>
          <w:szCs w:val="24"/>
        </w:rPr>
        <w:t>zhoršená kvalita vlasů či nehtů</w:t>
      </w:r>
      <w:r w:rsidR="00F606DA">
        <w:rPr>
          <w:rFonts w:ascii="Arial" w:hAnsi="Arial" w:cs="Arial"/>
          <w:sz w:val="24"/>
          <w:szCs w:val="24"/>
        </w:rPr>
        <w:t>.</w:t>
      </w:r>
    </w:p>
    <w:p w14:paraId="448759CB" w14:textId="01477BB6" w:rsidR="00D56850" w:rsidRDefault="000415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Až silnější nedostatek tohoto prvků v organismu </w:t>
      </w:r>
      <w:r w:rsidR="00D56850">
        <w:rPr>
          <w:rFonts w:ascii="Arial" w:hAnsi="Arial" w:cs="Arial"/>
          <w:sz w:val="24"/>
          <w:szCs w:val="24"/>
        </w:rPr>
        <w:t>se m</w:t>
      </w:r>
      <w:r w:rsidR="00F606DA">
        <w:rPr>
          <w:rFonts w:ascii="Arial" w:hAnsi="Arial" w:cs="Arial"/>
          <w:sz w:val="24"/>
          <w:szCs w:val="24"/>
        </w:rPr>
        <w:t>ůže</w:t>
      </w:r>
      <w:r w:rsidR="00D56850">
        <w:rPr>
          <w:rFonts w:ascii="Arial" w:hAnsi="Arial" w:cs="Arial"/>
          <w:sz w:val="24"/>
          <w:szCs w:val="24"/>
        </w:rPr>
        <w:t xml:space="preserve"> projevit svalovou slabostí, křečemi, tiky nebo srdeční arytmií.</w:t>
      </w:r>
      <w:r w:rsidR="00463457">
        <w:rPr>
          <w:rFonts w:ascii="Arial" w:hAnsi="Arial" w:cs="Arial"/>
          <w:sz w:val="24"/>
          <w:szCs w:val="24"/>
        </w:rPr>
        <w:t xml:space="preserve"> V takových případech už nebude stačit zvýšení příjmu magnézia pomocí běžných doplňků stravy, ale </w:t>
      </w:r>
      <w:r w:rsidR="00004207">
        <w:rPr>
          <w:rFonts w:ascii="Arial" w:hAnsi="Arial" w:cs="Arial"/>
          <w:sz w:val="24"/>
          <w:szCs w:val="24"/>
        </w:rPr>
        <w:t xml:space="preserve">nutná je návštěva lékaře, který může </w:t>
      </w:r>
      <w:r w:rsidR="00272B12">
        <w:rPr>
          <w:rFonts w:ascii="Arial" w:hAnsi="Arial" w:cs="Arial"/>
          <w:sz w:val="24"/>
          <w:szCs w:val="24"/>
        </w:rPr>
        <w:t>přistoupit k nitroděložní</w:t>
      </w:r>
      <w:r w:rsidR="003F7CF0">
        <w:rPr>
          <w:rFonts w:ascii="Arial" w:hAnsi="Arial" w:cs="Arial"/>
          <w:sz w:val="24"/>
          <w:szCs w:val="24"/>
        </w:rPr>
        <w:t>mu</w:t>
      </w:r>
      <w:r w:rsidR="00272B12">
        <w:rPr>
          <w:rFonts w:ascii="Arial" w:hAnsi="Arial" w:cs="Arial"/>
          <w:sz w:val="24"/>
          <w:szCs w:val="24"/>
        </w:rPr>
        <w:t xml:space="preserve"> podávání.</w:t>
      </w:r>
    </w:p>
    <w:p w14:paraId="2E619E08" w14:textId="77777777" w:rsidR="006B4715" w:rsidRDefault="006B4715">
      <w:pPr>
        <w:rPr>
          <w:rFonts w:ascii="Arial" w:hAnsi="Arial" w:cs="Arial"/>
          <w:sz w:val="24"/>
          <w:szCs w:val="24"/>
        </w:rPr>
      </w:pPr>
    </w:p>
    <w:p w14:paraId="4362A1E1" w14:textId="3B2F7330" w:rsidR="00641465" w:rsidRPr="006B4715" w:rsidRDefault="00641465">
      <w:pPr>
        <w:rPr>
          <w:rFonts w:ascii="Arial" w:hAnsi="Arial" w:cs="Arial"/>
          <w:b/>
          <w:bCs/>
          <w:sz w:val="28"/>
          <w:szCs w:val="28"/>
        </w:rPr>
      </w:pPr>
      <w:r w:rsidRPr="006B4715">
        <w:rPr>
          <w:rFonts w:ascii="Arial" w:hAnsi="Arial" w:cs="Arial"/>
          <w:b/>
          <w:bCs/>
          <w:sz w:val="28"/>
          <w:szCs w:val="28"/>
        </w:rPr>
        <w:t>Nadbytek magnézia je jen výjimečný</w:t>
      </w:r>
    </w:p>
    <w:p w14:paraId="46DB445A" w14:textId="14BF70B9" w:rsidR="00E55F5E" w:rsidRDefault="00EB56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Předávkování magnéziem se obvykle bát nemusíme, neboť </w:t>
      </w:r>
      <w:r w:rsidR="006E305A">
        <w:rPr>
          <w:rFonts w:ascii="Arial" w:hAnsi="Arial" w:cs="Arial"/>
          <w:sz w:val="24"/>
          <w:szCs w:val="24"/>
        </w:rPr>
        <w:t>nadbytečné množství tělo vyloučí v moči.</w:t>
      </w:r>
      <w:r>
        <w:rPr>
          <w:rFonts w:ascii="Arial" w:hAnsi="Arial" w:cs="Arial"/>
          <w:sz w:val="24"/>
          <w:szCs w:val="24"/>
        </w:rPr>
        <w:t xml:space="preserve"> </w:t>
      </w:r>
      <w:r w:rsidR="00E47685">
        <w:rPr>
          <w:rFonts w:ascii="Arial" w:hAnsi="Arial" w:cs="Arial"/>
          <w:sz w:val="24"/>
          <w:szCs w:val="24"/>
        </w:rPr>
        <w:t>Příliš vysoká hladina hořčíku v krvi (</w:t>
      </w:r>
      <w:proofErr w:type="spellStart"/>
      <w:r w:rsidR="00E47685" w:rsidRPr="00F72A01">
        <w:rPr>
          <w:rFonts w:ascii="Arial" w:hAnsi="Arial" w:cs="Arial"/>
          <w:sz w:val="24"/>
          <w:szCs w:val="24"/>
        </w:rPr>
        <w:t>hyp</w:t>
      </w:r>
      <w:r w:rsidR="00E47685">
        <w:rPr>
          <w:rFonts w:ascii="Arial" w:hAnsi="Arial" w:cs="Arial"/>
          <w:sz w:val="24"/>
          <w:szCs w:val="24"/>
        </w:rPr>
        <w:t>er</w:t>
      </w:r>
      <w:r w:rsidR="00E47685" w:rsidRPr="00F72A01">
        <w:rPr>
          <w:rFonts w:ascii="Arial" w:hAnsi="Arial" w:cs="Arial"/>
          <w:sz w:val="24"/>
          <w:szCs w:val="24"/>
        </w:rPr>
        <w:t>magnezémie</w:t>
      </w:r>
      <w:proofErr w:type="spellEnd"/>
      <w:r w:rsidR="00E47685">
        <w:rPr>
          <w:rFonts w:ascii="Arial" w:hAnsi="Arial" w:cs="Arial"/>
          <w:sz w:val="24"/>
          <w:szCs w:val="24"/>
        </w:rPr>
        <w:t xml:space="preserve">) se objevuje poměrně vzácně, a to u pacientů </w:t>
      </w:r>
      <w:r w:rsidR="00FD5FCA">
        <w:rPr>
          <w:rFonts w:ascii="Arial" w:hAnsi="Arial" w:cs="Arial"/>
          <w:sz w:val="24"/>
          <w:szCs w:val="24"/>
        </w:rPr>
        <w:t>s těžšími chronickými onemocněními ledvin.</w:t>
      </w:r>
      <w:r w:rsidR="00822D14">
        <w:rPr>
          <w:rFonts w:ascii="Arial" w:hAnsi="Arial" w:cs="Arial"/>
          <w:sz w:val="24"/>
          <w:szCs w:val="24"/>
        </w:rPr>
        <w:t xml:space="preserve"> Projevuje se </w:t>
      </w:r>
      <w:r w:rsidR="00F606DA">
        <w:rPr>
          <w:rFonts w:ascii="Arial" w:hAnsi="Arial" w:cs="Arial"/>
          <w:sz w:val="24"/>
          <w:szCs w:val="24"/>
        </w:rPr>
        <w:t xml:space="preserve">nejčastěji </w:t>
      </w:r>
      <w:r w:rsidR="00A606FD">
        <w:rPr>
          <w:rFonts w:ascii="Arial" w:hAnsi="Arial" w:cs="Arial"/>
          <w:sz w:val="24"/>
          <w:szCs w:val="24"/>
        </w:rPr>
        <w:t>nevolností, zvracením, průjmy</w:t>
      </w:r>
      <w:r w:rsidR="00F9175F">
        <w:rPr>
          <w:rFonts w:ascii="Arial" w:hAnsi="Arial" w:cs="Arial"/>
          <w:sz w:val="24"/>
          <w:szCs w:val="24"/>
        </w:rPr>
        <w:t xml:space="preserve"> a</w:t>
      </w:r>
      <w:r w:rsidR="00A606FD">
        <w:rPr>
          <w:rFonts w:ascii="Arial" w:hAnsi="Arial" w:cs="Arial"/>
          <w:sz w:val="24"/>
          <w:szCs w:val="24"/>
        </w:rPr>
        <w:t xml:space="preserve"> nízkým tlakem</w:t>
      </w:r>
      <w:r w:rsidR="00F9175F">
        <w:rPr>
          <w:rFonts w:ascii="Arial" w:hAnsi="Arial" w:cs="Arial"/>
          <w:sz w:val="24"/>
          <w:szCs w:val="24"/>
        </w:rPr>
        <w:t>.</w:t>
      </w:r>
    </w:p>
    <w:p w14:paraId="0F543317" w14:textId="77777777" w:rsidR="007C4A34" w:rsidRDefault="007C4A34">
      <w:pPr>
        <w:rPr>
          <w:rFonts w:ascii="Arial" w:hAnsi="Arial" w:cs="Arial"/>
          <w:sz w:val="24"/>
          <w:szCs w:val="24"/>
        </w:rPr>
      </w:pPr>
    </w:p>
    <w:p w14:paraId="4C6D00CE" w14:textId="6DB3A169" w:rsidR="00E55F5E" w:rsidRPr="00C46086" w:rsidRDefault="00D068EE">
      <w:pPr>
        <w:rPr>
          <w:rFonts w:ascii="Arial" w:hAnsi="Arial" w:cs="Arial"/>
          <w:b/>
          <w:bCs/>
          <w:sz w:val="28"/>
          <w:szCs w:val="28"/>
        </w:rPr>
      </w:pPr>
      <w:r w:rsidRPr="00C46086">
        <w:rPr>
          <w:rFonts w:ascii="Arial" w:hAnsi="Arial" w:cs="Arial"/>
          <w:b/>
          <w:bCs/>
          <w:sz w:val="28"/>
          <w:szCs w:val="28"/>
        </w:rPr>
        <w:t>Nejlepším zdrojem magnézia jsou potraviny</w:t>
      </w:r>
    </w:p>
    <w:p w14:paraId="71C4F4D3" w14:textId="5D8B99C3" w:rsidR="00EC0DBE" w:rsidRDefault="000F6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trhu naleznete spoustu doplňků stravy obsahujících magnézium. Než se </w:t>
      </w:r>
      <w:r w:rsidR="008504B0">
        <w:rPr>
          <w:rFonts w:ascii="Arial" w:hAnsi="Arial" w:cs="Arial"/>
          <w:sz w:val="24"/>
          <w:szCs w:val="24"/>
        </w:rPr>
        <w:t xml:space="preserve">pro ně </w:t>
      </w:r>
      <w:r>
        <w:rPr>
          <w:rFonts w:ascii="Arial" w:hAnsi="Arial" w:cs="Arial"/>
          <w:sz w:val="24"/>
          <w:szCs w:val="24"/>
        </w:rPr>
        <w:t xml:space="preserve">vydáte do lékárny, </w:t>
      </w:r>
      <w:r w:rsidR="008504B0">
        <w:rPr>
          <w:rFonts w:ascii="Arial" w:hAnsi="Arial" w:cs="Arial"/>
          <w:sz w:val="24"/>
          <w:szCs w:val="24"/>
        </w:rPr>
        <w:t xml:space="preserve">začněte úpravou svého jídelníčku. </w:t>
      </w:r>
      <w:r>
        <w:rPr>
          <w:rFonts w:ascii="Arial" w:hAnsi="Arial" w:cs="Arial"/>
          <w:sz w:val="24"/>
          <w:szCs w:val="24"/>
        </w:rPr>
        <w:t xml:space="preserve">Vzhledem k tomu, že </w:t>
      </w:r>
      <w:r w:rsidR="0058796F">
        <w:rPr>
          <w:rFonts w:ascii="Arial" w:hAnsi="Arial" w:cs="Arial"/>
          <w:sz w:val="24"/>
          <w:szCs w:val="24"/>
        </w:rPr>
        <w:t xml:space="preserve">magnézium je </w:t>
      </w:r>
      <w:r w:rsidR="00A419B3">
        <w:rPr>
          <w:rFonts w:ascii="Arial" w:hAnsi="Arial" w:cs="Arial"/>
          <w:sz w:val="24"/>
          <w:szCs w:val="24"/>
        </w:rPr>
        <w:t>obsažen</w:t>
      </w:r>
      <w:r w:rsidR="004D2165">
        <w:rPr>
          <w:rFonts w:ascii="Arial" w:hAnsi="Arial" w:cs="Arial"/>
          <w:sz w:val="24"/>
          <w:szCs w:val="24"/>
        </w:rPr>
        <w:t>o</w:t>
      </w:r>
      <w:r w:rsidR="00A419B3">
        <w:rPr>
          <w:rFonts w:ascii="Arial" w:hAnsi="Arial" w:cs="Arial"/>
          <w:sz w:val="24"/>
          <w:szCs w:val="24"/>
        </w:rPr>
        <w:t xml:space="preserve"> </w:t>
      </w:r>
      <w:r w:rsidR="004D2165">
        <w:rPr>
          <w:rFonts w:ascii="Arial" w:hAnsi="Arial" w:cs="Arial"/>
          <w:sz w:val="24"/>
          <w:szCs w:val="24"/>
        </w:rPr>
        <w:t>v rostlinách</w:t>
      </w:r>
      <w:r w:rsidR="00A419B3">
        <w:rPr>
          <w:rFonts w:ascii="Arial" w:hAnsi="Arial" w:cs="Arial"/>
          <w:sz w:val="24"/>
          <w:szCs w:val="24"/>
        </w:rPr>
        <w:t xml:space="preserve"> jako součást chlorofylu, patří právě zelené potraviny k nejdůležitějším </w:t>
      </w:r>
      <w:r w:rsidR="000B764D">
        <w:rPr>
          <w:rFonts w:ascii="Arial" w:hAnsi="Arial" w:cs="Arial"/>
          <w:sz w:val="24"/>
          <w:szCs w:val="24"/>
        </w:rPr>
        <w:t xml:space="preserve">zdrojům tohoto minerálu pro lidský organismus. </w:t>
      </w:r>
      <w:r w:rsidR="00DA32CC">
        <w:rPr>
          <w:rFonts w:ascii="Arial" w:hAnsi="Arial" w:cs="Arial"/>
          <w:sz w:val="24"/>
          <w:szCs w:val="24"/>
        </w:rPr>
        <w:t xml:space="preserve">Kromě </w:t>
      </w:r>
      <w:r w:rsidR="00EC291C">
        <w:rPr>
          <w:rFonts w:ascii="Arial" w:hAnsi="Arial" w:cs="Arial"/>
          <w:sz w:val="24"/>
          <w:szCs w:val="24"/>
        </w:rPr>
        <w:t>zeleniny a ovoce se doporučuje také konzumace luštěnin, ořechů</w:t>
      </w:r>
      <w:r w:rsidR="00CA287F">
        <w:rPr>
          <w:rFonts w:ascii="Arial" w:hAnsi="Arial" w:cs="Arial"/>
          <w:sz w:val="24"/>
          <w:szCs w:val="24"/>
        </w:rPr>
        <w:t xml:space="preserve">, </w:t>
      </w:r>
      <w:r w:rsidR="006F75F1">
        <w:rPr>
          <w:rFonts w:ascii="Arial" w:hAnsi="Arial" w:cs="Arial"/>
          <w:sz w:val="24"/>
          <w:szCs w:val="24"/>
        </w:rPr>
        <w:t xml:space="preserve">obilovin, </w:t>
      </w:r>
      <w:r w:rsidR="008B1351" w:rsidRPr="008B1351">
        <w:rPr>
          <w:rFonts w:ascii="Arial" w:hAnsi="Arial" w:cs="Arial"/>
          <w:sz w:val="24"/>
          <w:szCs w:val="24"/>
        </w:rPr>
        <w:t>mák</w:t>
      </w:r>
      <w:r w:rsidR="006F75F1">
        <w:rPr>
          <w:rFonts w:ascii="Arial" w:hAnsi="Arial" w:cs="Arial"/>
          <w:sz w:val="24"/>
          <w:szCs w:val="24"/>
        </w:rPr>
        <w:t>u</w:t>
      </w:r>
      <w:r w:rsidR="00CD040A">
        <w:rPr>
          <w:rFonts w:ascii="Arial" w:hAnsi="Arial" w:cs="Arial"/>
          <w:sz w:val="24"/>
          <w:szCs w:val="24"/>
        </w:rPr>
        <w:t xml:space="preserve"> nebo kakaa.</w:t>
      </w:r>
      <w:r w:rsidR="009D60E0">
        <w:rPr>
          <w:rFonts w:ascii="Arial" w:hAnsi="Arial" w:cs="Arial"/>
          <w:sz w:val="24"/>
          <w:szCs w:val="24"/>
        </w:rPr>
        <w:t xml:space="preserve"> Možností je také pití minerálních vo</w:t>
      </w:r>
      <w:r w:rsidR="00CD37E7">
        <w:rPr>
          <w:rFonts w:ascii="Arial" w:hAnsi="Arial" w:cs="Arial"/>
          <w:sz w:val="24"/>
          <w:szCs w:val="24"/>
        </w:rPr>
        <w:t>d v rozumném množství.</w:t>
      </w:r>
    </w:p>
    <w:p w14:paraId="3D3548A1" w14:textId="7C3E0EA9" w:rsidR="00660C5A" w:rsidRDefault="00660C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2B7F40">
        <w:rPr>
          <w:rFonts w:ascii="Arial" w:hAnsi="Arial" w:cs="Arial"/>
          <w:sz w:val="24"/>
          <w:szCs w:val="24"/>
        </w:rPr>
        <w:t xml:space="preserve"> běžně dostupným </w:t>
      </w:r>
      <w:r>
        <w:rPr>
          <w:rFonts w:ascii="Arial" w:hAnsi="Arial" w:cs="Arial"/>
          <w:sz w:val="24"/>
          <w:szCs w:val="24"/>
        </w:rPr>
        <w:t>potravinám s nejvyšším obsahem hořčíku patří</w:t>
      </w:r>
      <w:r w:rsidR="002B7F40">
        <w:rPr>
          <w:rFonts w:ascii="Arial" w:hAnsi="Arial" w:cs="Arial"/>
          <w:sz w:val="24"/>
          <w:szCs w:val="24"/>
        </w:rPr>
        <w:t xml:space="preserve"> (v závorce je uvedena doporučená denní dávka magnézia ve 100 g potraviny)</w:t>
      </w:r>
      <w:r>
        <w:rPr>
          <w:rFonts w:ascii="Arial" w:hAnsi="Arial" w:cs="Arial"/>
          <w:sz w:val="24"/>
          <w:szCs w:val="24"/>
        </w:rPr>
        <w:t>:</w:t>
      </w:r>
    </w:p>
    <w:p w14:paraId="749E7D63" w14:textId="6A1C438B" w:rsidR="002B7F40" w:rsidRPr="002B7F40" w:rsidRDefault="002B7F40" w:rsidP="002B7F4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7F40">
        <w:rPr>
          <w:rFonts w:ascii="Arial" w:hAnsi="Arial" w:cs="Arial"/>
          <w:sz w:val="24"/>
          <w:szCs w:val="24"/>
        </w:rPr>
        <w:t>Semena tykve a dýně (131 %)</w:t>
      </w:r>
    </w:p>
    <w:p w14:paraId="595812E5" w14:textId="37A6D4E3" w:rsidR="002B7F40" w:rsidRPr="002B7F40" w:rsidRDefault="002B7F40" w:rsidP="002B7F4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7F40">
        <w:rPr>
          <w:rFonts w:ascii="Arial" w:hAnsi="Arial" w:cs="Arial"/>
          <w:sz w:val="24"/>
          <w:szCs w:val="24"/>
        </w:rPr>
        <w:t>Mandle, pekanové a vlašské ořechy (až 64 %)</w:t>
      </w:r>
    </w:p>
    <w:p w14:paraId="1641DDD0" w14:textId="4490B7EA" w:rsidR="002B7F40" w:rsidRPr="002B7F40" w:rsidRDefault="002B7F40" w:rsidP="002B7F4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7F40">
        <w:rPr>
          <w:rFonts w:ascii="Arial" w:hAnsi="Arial" w:cs="Arial"/>
          <w:sz w:val="24"/>
          <w:szCs w:val="24"/>
        </w:rPr>
        <w:t>Hořká čokoláda s 85% obsahem kakaa (54 %)</w:t>
      </w:r>
    </w:p>
    <w:p w14:paraId="764EEA45" w14:textId="75FB4E65" w:rsidR="00660C5A" w:rsidRPr="002B7F40" w:rsidRDefault="00494329" w:rsidP="002B7F4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7F40">
        <w:rPr>
          <w:rFonts w:ascii="Arial" w:hAnsi="Arial" w:cs="Arial"/>
          <w:sz w:val="24"/>
          <w:szCs w:val="24"/>
        </w:rPr>
        <w:t>Š</w:t>
      </w:r>
      <w:r w:rsidR="00412D14" w:rsidRPr="002B7F40">
        <w:rPr>
          <w:rFonts w:ascii="Arial" w:hAnsi="Arial" w:cs="Arial"/>
          <w:sz w:val="24"/>
          <w:szCs w:val="24"/>
        </w:rPr>
        <w:t>penát</w:t>
      </w:r>
      <w:r w:rsidR="00601446" w:rsidRPr="002B7F40">
        <w:rPr>
          <w:rFonts w:ascii="Arial" w:hAnsi="Arial" w:cs="Arial"/>
          <w:sz w:val="24"/>
          <w:szCs w:val="24"/>
        </w:rPr>
        <w:t xml:space="preserve"> (</w:t>
      </w:r>
      <w:r w:rsidR="0053328F" w:rsidRPr="002B7F40">
        <w:rPr>
          <w:rFonts w:ascii="Arial" w:hAnsi="Arial" w:cs="Arial"/>
          <w:sz w:val="24"/>
          <w:szCs w:val="24"/>
        </w:rPr>
        <w:t>21 %)</w:t>
      </w:r>
    </w:p>
    <w:p w14:paraId="6D323A10" w14:textId="73ABB283" w:rsidR="000C1A5D" w:rsidRPr="002B7F40" w:rsidRDefault="009B21E3" w:rsidP="002B7F4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7F40">
        <w:rPr>
          <w:rFonts w:ascii="Arial" w:hAnsi="Arial" w:cs="Arial"/>
          <w:sz w:val="24"/>
          <w:szCs w:val="24"/>
        </w:rPr>
        <w:t>Fazole, čočka a cizrna</w:t>
      </w:r>
      <w:r w:rsidR="00DC2495" w:rsidRPr="002B7F40">
        <w:rPr>
          <w:rFonts w:ascii="Arial" w:hAnsi="Arial" w:cs="Arial"/>
          <w:sz w:val="24"/>
          <w:szCs w:val="24"/>
        </w:rPr>
        <w:t xml:space="preserve"> (až 18 </w:t>
      </w:r>
      <w:r w:rsidR="002B7F40" w:rsidRPr="002B7F40">
        <w:rPr>
          <w:rFonts w:ascii="Arial" w:hAnsi="Arial" w:cs="Arial"/>
          <w:sz w:val="24"/>
          <w:szCs w:val="24"/>
        </w:rPr>
        <w:t>%</w:t>
      </w:r>
      <w:r w:rsidR="00DC2495" w:rsidRPr="002B7F40">
        <w:rPr>
          <w:rFonts w:ascii="Arial" w:hAnsi="Arial" w:cs="Arial"/>
          <w:sz w:val="24"/>
          <w:szCs w:val="24"/>
        </w:rPr>
        <w:t>)</w:t>
      </w:r>
    </w:p>
    <w:p w14:paraId="7FBB9750" w14:textId="524AC8A8" w:rsidR="0091796A" w:rsidRPr="002B7F40" w:rsidRDefault="0091796A" w:rsidP="002B7F4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7F40">
        <w:rPr>
          <w:rFonts w:ascii="Arial" w:hAnsi="Arial" w:cs="Arial"/>
          <w:sz w:val="24"/>
          <w:szCs w:val="24"/>
        </w:rPr>
        <w:t>Tuňák</w:t>
      </w:r>
      <w:r w:rsidR="00DC2495" w:rsidRPr="002B7F40">
        <w:rPr>
          <w:rFonts w:ascii="Arial" w:hAnsi="Arial" w:cs="Arial"/>
          <w:sz w:val="24"/>
          <w:szCs w:val="24"/>
        </w:rPr>
        <w:t xml:space="preserve"> (15 %)</w:t>
      </w:r>
    </w:p>
    <w:p w14:paraId="378B3DCB" w14:textId="13B438E9" w:rsidR="002B7F40" w:rsidRPr="002B7F40" w:rsidRDefault="002B7F40" w:rsidP="002B7F4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7F40">
        <w:rPr>
          <w:rFonts w:ascii="Arial" w:hAnsi="Arial" w:cs="Arial"/>
          <w:sz w:val="24"/>
          <w:szCs w:val="24"/>
        </w:rPr>
        <w:t>Kadeřavá kapusta (14 %)</w:t>
      </w:r>
    </w:p>
    <w:p w14:paraId="1FEBE3B4" w14:textId="340F601E" w:rsidR="002B7F40" w:rsidRPr="002B7F40" w:rsidRDefault="002B7F40" w:rsidP="002B7F4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7F40">
        <w:rPr>
          <w:rFonts w:ascii="Arial" w:hAnsi="Arial" w:cs="Arial"/>
          <w:sz w:val="24"/>
          <w:szCs w:val="24"/>
        </w:rPr>
        <w:t>Artyčok (14 %)</w:t>
      </w:r>
    </w:p>
    <w:p w14:paraId="43662D2A" w14:textId="162E10F1" w:rsidR="0091796A" w:rsidRPr="002B7F40" w:rsidRDefault="0091796A" w:rsidP="002B7F4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7F40">
        <w:rPr>
          <w:rFonts w:ascii="Arial" w:hAnsi="Arial" w:cs="Arial"/>
          <w:sz w:val="24"/>
          <w:szCs w:val="24"/>
        </w:rPr>
        <w:t xml:space="preserve">Hnědá </w:t>
      </w:r>
      <w:r w:rsidR="00BE2C97" w:rsidRPr="002B7F40">
        <w:rPr>
          <w:rFonts w:ascii="Arial" w:hAnsi="Arial" w:cs="Arial"/>
          <w:sz w:val="24"/>
          <w:szCs w:val="24"/>
        </w:rPr>
        <w:t>či</w:t>
      </w:r>
      <w:r w:rsidR="0006277D" w:rsidRPr="002B7F40">
        <w:rPr>
          <w:rFonts w:ascii="Arial" w:hAnsi="Arial" w:cs="Arial"/>
          <w:sz w:val="24"/>
          <w:szCs w:val="24"/>
        </w:rPr>
        <w:t xml:space="preserve"> divoká rýže, </w:t>
      </w:r>
      <w:r w:rsidR="003632F5" w:rsidRPr="002B7F40">
        <w:rPr>
          <w:rFonts w:ascii="Arial" w:hAnsi="Arial" w:cs="Arial"/>
          <w:sz w:val="24"/>
          <w:szCs w:val="24"/>
        </w:rPr>
        <w:t xml:space="preserve">bulgur a </w:t>
      </w:r>
      <w:proofErr w:type="spellStart"/>
      <w:r w:rsidR="003632F5" w:rsidRPr="002B7F40">
        <w:rPr>
          <w:rFonts w:ascii="Arial" w:hAnsi="Arial" w:cs="Arial"/>
          <w:sz w:val="24"/>
          <w:szCs w:val="24"/>
        </w:rPr>
        <w:t>quinoa</w:t>
      </w:r>
      <w:proofErr w:type="spellEnd"/>
      <w:r w:rsidR="0006277D" w:rsidRPr="002B7F40">
        <w:rPr>
          <w:rFonts w:ascii="Arial" w:hAnsi="Arial" w:cs="Arial"/>
          <w:sz w:val="24"/>
          <w:szCs w:val="24"/>
        </w:rPr>
        <w:t xml:space="preserve"> (</w:t>
      </w:r>
      <w:r w:rsidR="003632F5" w:rsidRPr="002B7F40">
        <w:rPr>
          <w:rFonts w:ascii="Arial" w:hAnsi="Arial" w:cs="Arial"/>
          <w:sz w:val="24"/>
          <w:szCs w:val="24"/>
        </w:rPr>
        <w:t>až 10 %)</w:t>
      </w:r>
    </w:p>
    <w:p w14:paraId="34B85C96" w14:textId="4E8E6EA0" w:rsidR="002B7F40" w:rsidRPr="002B7F40" w:rsidRDefault="002B7F40" w:rsidP="002B7F4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7F40">
        <w:rPr>
          <w:rFonts w:ascii="Arial" w:hAnsi="Arial" w:cs="Arial"/>
          <w:sz w:val="24"/>
          <w:szCs w:val="24"/>
        </w:rPr>
        <w:t>Brambory (7 %)</w:t>
      </w:r>
    </w:p>
    <w:p w14:paraId="52E8A35E" w14:textId="7649D2CE" w:rsidR="0074130B" w:rsidRPr="002B7F40" w:rsidRDefault="0074130B" w:rsidP="002B7F4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7F40">
        <w:rPr>
          <w:rFonts w:ascii="Arial" w:hAnsi="Arial" w:cs="Arial"/>
          <w:sz w:val="24"/>
          <w:szCs w:val="24"/>
        </w:rPr>
        <w:t>Avokádo (7 %)</w:t>
      </w:r>
    </w:p>
    <w:p w14:paraId="6151E5D3" w14:textId="02C32F37" w:rsidR="0074130B" w:rsidRPr="002B7F40" w:rsidRDefault="0074130B" w:rsidP="002B7F4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7F40">
        <w:rPr>
          <w:rFonts w:ascii="Arial" w:hAnsi="Arial" w:cs="Arial"/>
          <w:sz w:val="24"/>
          <w:szCs w:val="24"/>
        </w:rPr>
        <w:t>Banány (6 %)</w:t>
      </w:r>
    </w:p>
    <w:p w14:paraId="22E28B6D" w14:textId="3FDDB47A" w:rsidR="00C12D31" w:rsidRPr="002B7F40" w:rsidRDefault="00C12D31" w:rsidP="002B7F4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7F40">
        <w:rPr>
          <w:rFonts w:ascii="Arial" w:hAnsi="Arial" w:cs="Arial"/>
          <w:sz w:val="24"/>
          <w:szCs w:val="24"/>
        </w:rPr>
        <w:t>Jogurt bez tuku (5 %)</w:t>
      </w:r>
    </w:p>
    <w:p w14:paraId="7903F2AB" w14:textId="37617D18" w:rsidR="0074130B" w:rsidRDefault="0074130B" w:rsidP="0074130B">
      <w:pPr>
        <w:rPr>
          <w:rFonts w:ascii="Arial" w:hAnsi="Arial" w:cs="Arial"/>
          <w:sz w:val="24"/>
          <w:szCs w:val="24"/>
        </w:rPr>
      </w:pPr>
    </w:p>
    <w:p w14:paraId="3FB85C58" w14:textId="77777777" w:rsidR="003B0FAA" w:rsidRDefault="003B0FAA" w:rsidP="0074130B">
      <w:pPr>
        <w:rPr>
          <w:rFonts w:ascii="Arial" w:hAnsi="Arial" w:cs="Arial"/>
          <w:sz w:val="24"/>
          <w:szCs w:val="24"/>
        </w:rPr>
      </w:pPr>
    </w:p>
    <w:p w14:paraId="1A4704FE" w14:textId="78C75F0D" w:rsidR="003B0FAA" w:rsidRPr="00C46086" w:rsidRDefault="003B0FAA" w:rsidP="0074130B">
      <w:pPr>
        <w:rPr>
          <w:rFonts w:ascii="Arial" w:hAnsi="Arial" w:cs="Arial"/>
          <w:b/>
          <w:bCs/>
          <w:sz w:val="28"/>
          <w:szCs w:val="28"/>
        </w:rPr>
      </w:pPr>
      <w:r w:rsidRPr="00C46086">
        <w:rPr>
          <w:rFonts w:ascii="Arial" w:hAnsi="Arial" w:cs="Arial"/>
          <w:b/>
          <w:bCs/>
          <w:sz w:val="28"/>
          <w:szCs w:val="28"/>
        </w:rPr>
        <w:lastRenderedPageBreak/>
        <w:t>Zlepšete vstřebávání magnézia</w:t>
      </w:r>
    </w:p>
    <w:p w14:paraId="3208D437" w14:textId="1EBB80C0" w:rsidR="002B7F40" w:rsidRDefault="003D0742" w:rsidP="007413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 zařazení potravin do jídelníčku dbejte </w:t>
      </w:r>
      <w:r w:rsidR="0096698E">
        <w:rPr>
          <w:rFonts w:ascii="Arial" w:hAnsi="Arial" w:cs="Arial"/>
          <w:sz w:val="24"/>
          <w:szCs w:val="24"/>
        </w:rPr>
        <w:t xml:space="preserve">na vyvážené množství a raději nic nepřehánějte, což platí např. u </w:t>
      </w:r>
      <w:r w:rsidR="00A4360F">
        <w:rPr>
          <w:rFonts w:ascii="Arial" w:hAnsi="Arial" w:cs="Arial"/>
          <w:sz w:val="24"/>
          <w:szCs w:val="24"/>
        </w:rPr>
        <w:t xml:space="preserve">stravy s vyšším obsahem tuku. Abyste zlepšili vstřebávání magnézia </w:t>
      </w:r>
      <w:r w:rsidR="00353F3C">
        <w:rPr>
          <w:rFonts w:ascii="Arial" w:hAnsi="Arial" w:cs="Arial"/>
          <w:sz w:val="24"/>
          <w:szCs w:val="24"/>
        </w:rPr>
        <w:t>v lidském organismu, doporučuje se</w:t>
      </w:r>
      <w:r w:rsidR="00CD39AF">
        <w:rPr>
          <w:rFonts w:ascii="Arial" w:hAnsi="Arial" w:cs="Arial"/>
          <w:sz w:val="24"/>
          <w:szCs w:val="24"/>
        </w:rPr>
        <w:t xml:space="preserve"> především:</w:t>
      </w:r>
    </w:p>
    <w:p w14:paraId="3FD41C30" w14:textId="314DE48D" w:rsidR="00CD39AF" w:rsidRPr="00B25514" w:rsidRDefault="00CD39AF" w:rsidP="00B25514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25514">
        <w:rPr>
          <w:rFonts w:ascii="Arial" w:hAnsi="Arial" w:cs="Arial"/>
          <w:sz w:val="24"/>
          <w:szCs w:val="24"/>
        </w:rPr>
        <w:t>konzumovat syrovou zeleninu místo tepelně upravené,</w:t>
      </w:r>
    </w:p>
    <w:p w14:paraId="1445D210" w14:textId="75060413" w:rsidR="00CD39AF" w:rsidRPr="00B25514" w:rsidRDefault="00946240" w:rsidP="00B25514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25514">
        <w:rPr>
          <w:rFonts w:ascii="Arial" w:hAnsi="Arial" w:cs="Arial"/>
          <w:sz w:val="24"/>
          <w:szCs w:val="24"/>
        </w:rPr>
        <w:t xml:space="preserve">omezit konzumaci </w:t>
      </w:r>
      <w:r w:rsidR="00C93C7A" w:rsidRPr="00B25514">
        <w:rPr>
          <w:rFonts w:ascii="Arial" w:hAnsi="Arial" w:cs="Arial"/>
          <w:sz w:val="24"/>
          <w:szCs w:val="24"/>
        </w:rPr>
        <w:t>potravin bohatých na vápník dvě hodiny před a po příjmu hořčíku,</w:t>
      </w:r>
    </w:p>
    <w:p w14:paraId="02D74B2A" w14:textId="12A3BFF0" w:rsidR="00C93C7A" w:rsidRPr="00B25514" w:rsidRDefault="009016A0" w:rsidP="00B25514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25514">
        <w:rPr>
          <w:rFonts w:ascii="Arial" w:hAnsi="Arial" w:cs="Arial"/>
          <w:sz w:val="24"/>
          <w:szCs w:val="24"/>
        </w:rPr>
        <w:t>zajistit tělu dostatek vitamínů B6 a D,</w:t>
      </w:r>
    </w:p>
    <w:p w14:paraId="1E2FB18E" w14:textId="353DEEFF" w:rsidR="009016A0" w:rsidRPr="00B25514" w:rsidRDefault="009016A0" w:rsidP="00B25514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25514">
        <w:rPr>
          <w:rFonts w:ascii="Arial" w:hAnsi="Arial" w:cs="Arial"/>
          <w:sz w:val="24"/>
          <w:szCs w:val="24"/>
        </w:rPr>
        <w:t>vyhnout se vysokým dávkám zinku,</w:t>
      </w:r>
    </w:p>
    <w:p w14:paraId="059209CE" w14:textId="3B307B03" w:rsidR="00B25514" w:rsidRPr="00B25514" w:rsidRDefault="00B25514" w:rsidP="00B25514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25514">
        <w:rPr>
          <w:rFonts w:ascii="Arial" w:hAnsi="Arial" w:cs="Arial"/>
          <w:sz w:val="24"/>
          <w:szCs w:val="24"/>
        </w:rPr>
        <w:t>nekouřit a nepít alkohol.</w:t>
      </w:r>
    </w:p>
    <w:p w14:paraId="0B5D5089" w14:textId="77777777" w:rsidR="00534DB3" w:rsidRDefault="00534DB3" w:rsidP="0074130B">
      <w:pPr>
        <w:rPr>
          <w:rFonts w:ascii="Arial" w:hAnsi="Arial" w:cs="Arial"/>
          <w:sz w:val="24"/>
          <w:szCs w:val="24"/>
        </w:rPr>
      </w:pPr>
    </w:p>
    <w:p w14:paraId="0DF799B1" w14:textId="184E353E" w:rsidR="003B0FAA" w:rsidRPr="00C46086" w:rsidRDefault="00362030" w:rsidP="0074130B">
      <w:pPr>
        <w:rPr>
          <w:rFonts w:ascii="Arial" w:hAnsi="Arial" w:cs="Arial"/>
          <w:b/>
          <w:bCs/>
          <w:sz w:val="28"/>
          <w:szCs w:val="28"/>
        </w:rPr>
      </w:pPr>
      <w:r w:rsidRPr="00C46086">
        <w:rPr>
          <w:rFonts w:ascii="Arial" w:hAnsi="Arial" w:cs="Arial"/>
          <w:b/>
          <w:bCs/>
          <w:sz w:val="28"/>
          <w:szCs w:val="28"/>
        </w:rPr>
        <w:t>Z doplňků stravy s magnéziem si vyberete</w:t>
      </w:r>
    </w:p>
    <w:p w14:paraId="073C2AC1" w14:textId="4F4B56CF" w:rsidR="00362030" w:rsidRDefault="007B30A7" w:rsidP="007413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 hořčíku je možné </w:t>
      </w:r>
      <w:r w:rsidR="00501065">
        <w:rPr>
          <w:rFonts w:ascii="Arial" w:hAnsi="Arial" w:cs="Arial"/>
          <w:sz w:val="24"/>
          <w:szCs w:val="24"/>
        </w:rPr>
        <w:t xml:space="preserve">zvyšovat pomocí doplňků stravy, kterých na trhu nalezneme nespočet. </w:t>
      </w:r>
      <w:r w:rsidR="003F63BC">
        <w:rPr>
          <w:rFonts w:ascii="Arial" w:hAnsi="Arial" w:cs="Arial"/>
          <w:sz w:val="24"/>
          <w:szCs w:val="24"/>
        </w:rPr>
        <w:t>Liší se nejen svou formou</w:t>
      </w:r>
      <w:r w:rsidR="009A4505">
        <w:rPr>
          <w:rFonts w:ascii="Arial" w:hAnsi="Arial" w:cs="Arial"/>
          <w:sz w:val="24"/>
          <w:szCs w:val="24"/>
        </w:rPr>
        <w:t xml:space="preserve"> (např.</w:t>
      </w:r>
      <w:r w:rsidR="00762151">
        <w:rPr>
          <w:rFonts w:ascii="Arial" w:hAnsi="Arial" w:cs="Arial"/>
          <w:sz w:val="24"/>
          <w:szCs w:val="24"/>
        </w:rPr>
        <w:t xml:space="preserve"> </w:t>
      </w:r>
      <w:r w:rsidR="009A4505">
        <w:rPr>
          <w:rFonts w:ascii="Arial" w:hAnsi="Arial" w:cs="Arial"/>
          <w:sz w:val="24"/>
          <w:szCs w:val="24"/>
        </w:rPr>
        <w:t>polykací tablety</w:t>
      </w:r>
      <w:r w:rsidR="00762151">
        <w:rPr>
          <w:rFonts w:ascii="Arial" w:hAnsi="Arial" w:cs="Arial"/>
          <w:sz w:val="24"/>
          <w:szCs w:val="24"/>
        </w:rPr>
        <w:t>, prášek nebo šumivé tablety do vody</w:t>
      </w:r>
      <w:r w:rsidR="009A4505">
        <w:rPr>
          <w:rFonts w:ascii="Arial" w:hAnsi="Arial" w:cs="Arial"/>
          <w:sz w:val="24"/>
          <w:szCs w:val="24"/>
        </w:rPr>
        <w:t>)</w:t>
      </w:r>
      <w:r w:rsidR="00762151">
        <w:rPr>
          <w:rFonts w:ascii="Arial" w:hAnsi="Arial" w:cs="Arial"/>
          <w:sz w:val="24"/>
          <w:szCs w:val="24"/>
        </w:rPr>
        <w:t xml:space="preserve">, ale také účinnou látkou. </w:t>
      </w:r>
      <w:r w:rsidR="00154E2D">
        <w:rPr>
          <w:rFonts w:ascii="Arial" w:hAnsi="Arial" w:cs="Arial"/>
          <w:sz w:val="24"/>
          <w:szCs w:val="24"/>
        </w:rPr>
        <w:t xml:space="preserve">V běžných doplňcích stravy se obvykle používá oxid hořečnatý nebo </w:t>
      </w:r>
      <w:r w:rsidR="002A687E">
        <w:rPr>
          <w:rFonts w:ascii="Arial" w:hAnsi="Arial" w:cs="Arial"/>
          <w:sz w:val="24"/>
          <w:szCs w:val="24"/>
        </w:rPr>
        <w:t xml:space="preserve">citrát hořečnatý, které ovšem mohou mít projímavé účinky a nejsou proto vhodné pro konzumaci ve vyšším množství. </w:t>
      </w:r>
      <w:r w:rsidR="00B63183">
        <w:rPr>
          <w:rFonts w:ascii="Arial" w:hAnsi="Arial" w:cs="Arial"/>
          <w:sz w:val="24"/>
          <w:szCs w:val="24"/>
        </w:rPr>
        <w:t xml:space="preserve">Poměrně snadno dostupné jsou také přípravky obsahující </w:t>
      </w:r>
      <w:proofErr w:type="spellStart"/>
      <w:r w:rsidR="00B63183">
        <w:rPr>
          <w:rFonts w:ascii="Arial" w:hAnsi="Arial" w:cs="Arial"/>
          <w:sz w:val="24"/>
          <w:szCs w:val="24"/>
        </w:rPr>
        <w:t>b</w:t>
      </w:r>
      <w:r w:rsidR="00B63183" w:rsidRPr="00B63183">
        <w:rPr>
          <w:rFonts w:ascii="Arial" w:hAnsi="Arial" w:cs="Arial"/>
          <w:sz w:val="24"/>
          <w:szCs w:val="24"/>
        </w:rPr>
        <w:t>isglycinát</w:t>
      </w:r>
      <w:proofErr w:type="spellEnd"/>
      <w:r w:rsidR="00B63183" w:rsidRPr="00B63183">
        <w:rPr>
          <w:rFonts w:ascii="Arial" w:hAnsi="Arial" w:cs="Arial"/>
          <w:sz w:val="24"/>
          <w:szCs w:val="24"/>
        </w:rPr>
        <w:t xml:space="preserve"> hořečnatý</w:t>
      </w:r>
      <w:r w:rsidR="00B378BE">
        <w:rPr>
          <w:rFonts w:ascii="Arial" w:hAnsi="Arial" w:cs="Arial"/>
          <w:sz w:val="24"/>
          <w:szCs w:val="24"/>
        </w:rPr>
        <w:t xml:space="preserve">, jehož výhodou je vyšší biologická využitelnost. </w:t>
      </w:r>
      <w:r w:rsidR="00566B96">
        <w:rPr>
          <w:rFonts w:ascii="Arial" w:hAnsi="Arial" w:cs="Arial"/>
          <w:sz w:val="24"/>
          <w:szCs w:val="24"/>
        </w:rPr>
        <w:t xml:space="preserve">Velmi dobře </w:t>
      </w:r>
      <w:r w:rsidR="009D7A44">
        <w:rPr>
          <w:rFonts w:ascii="Arial" w:hAnsi="Arial" w:cs="Arial"/>
          <w:sz w:val="24"/>
          <w:szCs w:val="24"/>
        </w:rPr>
        <w:t>vstřebatelné jsou také doplňky obsahující magn</w:t>
      </w:r>
      <w:r w:rsidR="008D4EC6">
        <w:rPr>
          <w:rFonts w:ascii="Arial" w:hAnsi="Arial" w:cs="Arial"/>
          <w:sz w:val="24"/>
          <w:szCs w:val="24"/>
        </w:rPr>
        <w:t xml:space="preserve">ézium </w:t>
      </w:r>
      <w:proofErr w:type="spellStart"/>
      <w:r w:rsidR="008D4EC6">
        <w:rPr>
          <w:rFonts w:ascii="Arial" w:hAnsi="Arial" w:cs="Arial"/>
          <w:sz w:val="24"/>
          <w:szCs w:val="24"/>
        </w:rPr>
        <w:t>malát</w:t>
      </w:r>
      <w:proofErr w:type="spellEnd"/>
      <w:r w:rsidR="008D4EC6">
        <w:rPr>
          <w:rFonts w:ascii="Arial" w:hAnsi="Arial" w:cs="Arial"/>
          <w:sz w:val="24"/>
          <w:szCs w:val="24"/>
        </w:rPr>
        <w:t xml:space="preserve"> (</w:t>
      </w:r>
      <w:r w:rsidR="002973C0">
        <w:rPr>
          <w:rFonts w:ascii="Arial" w:hAnsi="Arial" w:cs="Arial"/>
          <w:sz w:val="24"/>
          <w:szCs w:val="24"/>
        </w:rPr>
        <w:t xml:space="preserve">tj. </w:t>
      </w:r>
      <w:r w:rsidR="008D4EC6">
        <w:rPr>
          <w:rFonts w:ascii="Arial" w:hAnsi="Arial" w:cs="Arial"/>
          <w:sz w:val="24"/>
          <w:szCs w:val="24"/>
        </w:rPr>
        <w:t xml:space="preserve">s kyselinou jablečnou) </w:t>
      </w:r>
      <w:r w:rsidR="00E76C7D">
        <w:rPr>
          <w:rFonts w:ascii="Arial" w:hAnsi="Arial" w:cs="Arial"/>
          <w:sz w:val="24"/>
          <w:szCs w:val="24"/>
        </w:rPr>
        <w:t xml:space="preserve">nebo magnézium </w:t>
      </w:r>
      <w:proofErr w:type="spellStart"/>
      <w:r w:rsidR="00E76C7D">
        <w:rPr>
          <w:rFonts w:ascii="Arial" w:hAnsi="Arial" w:cs="Arial"/>
          <w:sz w:val="24"/>
          <w:szCs w:val="24"/>
        </w:rPr>
        <w:t>treonát</w:t>
      </w:r>
      <w:proofErr w:type="spellEnd"/>
      <w:r w:rsidR="00A65E1C">
        <w:rPr>
          <w:rFonts w:ascii="Arial" w:hAnsi="Arial" w:cs="Arial"/>
          <w:sz w:val="24"/>
          <w:szCs w:val="24"/>
        </w:rPr>
        <w:t>, i když jejich cena bývá výrazně vyšší.</w:t>
      </w:r>
    </w:p>
    <w:p w14:paraId="66EACE49" w14:textId="77777777" w:rsidR="00534DB3" w:rsidRDefault="00534DB3" w:rsidP="0074130B">
      <w:pPr>
        <w:rPr>
          <w:rFonts w:ascii="Arial" w:hAnsi="Arial" w:cs="Arial"/>
          <w:sz w:val="24"/>
          <w:szCs w:val="24"/>
        </w:rPr>
      </w:pPr>
    </w:p>
    <w:p w14:paraId="74C6BECA" w14:textId="15E7566A" w:rsidR="00C95273" w:rsidRPr="00C46086" w:rsidRDefault="0070793A" w:rsidP="0074130B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C46086">
        <w:rPr>
          <w:rFonts w:ascii="Arial" w:hAnsi="Arial" w:cs="Arial"/>
          <w:b/>
          <w:bCs/>
          <w:sz w:val="28"/>
          <w:szCs w:val="28"/>
        </w:rPr>
        <w:t>Magnézium nejlépe s vitaminem B6</w:t>
      </w:r>
    </w:p>
    <w:bookmarkEnd w:id="0"/>
    <w:p w14:paraId="63C8991C" w14:textId="5333D258" w:rsidR="009016A0" w:rsidRDefault="00765437" w:rsidP="007413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Není náhoda, že značná část doplňků stravy obsahuje kromě hořčíku také </w:t>
      </w:r>
      <w:r w:rsidR="00837E75">
        <w:rPr>
          <w:rFonts w:ascii="Arial" w:hAnsi="Arial" w:cs="Arial"/>
          <w:sz w:val="24"/>
          <w:szCs w:val="24"/>
        </w:rPr>
        <w:t xml:space="preserve">vitamín B6. </w:t>
      </w:r>
      <w:r w:rsidR="00990084">
        <w:rPr>
          <w:rFonts w:ascii="Arial" w:hAnsi="Arial" w:cs="Arial"/>
          <w:sz w:val="24"/>
          <w:szCs w:val="24"/>
        </w:rPr>
        <w:t xml:space="preserve">Tento ve vodě rozpustný vitamín, chemicky označovaný jako </w:t>
      </w:r>
      <w:r w:rsidR="00990084" w:rsidRPr="00990084">
        <w:rPr>
          <w:rFonts w:ascii="Arial" w:hAnsi="Arial" w:cs="Arial"/>
          <w:sz w:val="24"/>
          <w:szCs w:val="24"/>
        </w:rPr>
        <w:t>pyridoxin</w:t>
      </w:r>
      <w:r w:rsidR="00990084">
        <w:rPr>
          <w:rFonts w:ascii="Arial" w:hAnsi="Arial" w:cs="Arial"/>
          <w:sz w:val="24"/>
          <w:szCs w:val="24"/>
        </w:rPr>
        <w:t xml:space="preserve">, totiž zlepšuje vstřebávání </w:t>
      </w:r>
      <w:r w:rsidR="00341EB0">
        <w:rPr>
          <w:rFonts w:ascii="Arial" w:hAnsi="Arial" w:cs="Arial"/>
          <w:sz w:val="24"/>
          <w:szCs w:val="24"/>
        </w:rPr>
        <w:t xml:space="preserve">magnézia v lidském organismu. </w:t>
      </w:r>
      <w:r w:rsidR="00AC3741">
        <w:rPr>
          <w:rFonts w:ascii="Arial" w:hAnsi="Arial" w:cs="Arial"/>
          <w:sz w:val="24"/>
          <w:szCs w:val="24"/>
        </w:rPr>
        <w:t xml:space="preserve">Kromě toho vitamín B6 </w:t>
      </w:r>
      <w:r w:rsidR="00B87C07" w:rsidRPr="00B87C07">
        <w:rPr>
          <w:rFonts w:ascii="Arial" w:hAnsi="Arial" w:cs="Arial"/>
          <w:sz w:val="24"/>
          <w:szCs w:val="24"/>
        </w:rPr>
        <w:t>pomáhá urychlovat metabolické</w:t>
      </w:r>
      <w:r w:rsidR="00AC3741">
        <w:rPr>
          <w:rFonts w:ascii="Arial" w:hAnsi="Arial" w:cs="Arial"/>
          <w:sz w:val="24"/>
          <w:szCs w:val="24"/>
        </w:rPr>
        <w:t xml:space="preserve"> a chemické reakce, proto</w:t>
      </w:r>
      <w:r w:rsidR="009F2198" w:rsidRPr="009F2198">
        <w:t xml:space="preserve"> </w:t>
      </w:r>
      <w:r w:rsidR="009F2198">
        <w:rPr>
          <w:rFonts w:ascii="Arial" w:hAnsi="Arial" w:cs="Arial"/>
          <w:sz w:val="24"/>
          <w:szCs w:val="24"/>
        </w:rPr>
        <w:t>zlepšuje využití</w:t>
      </w:r>
      <w:r w:rsidR="009F2198" w:rsidRPr="009F2198">
        <w:rPr>
          <w:rFonts w:ascii="Arial" w:hAnsi="Arial" w:cs="Arial"/>
          <w:sz w:val="24"/>
          <w:szCs w:val="24"/>
        </w:rPr>
        <w:t xml:space="preserve"> bílkovin, cukrů </w:t>
      </w:r>
      <w:r w:rsidR="009F2198">
        <w:rPr>
          <w:rFonts w:ascii="Arial" w:hAnsi="Arial" w:cs="Arial"/>
          <w:sz w:val="24"/>
          <w:szCs w:val="24"/>
        </w:rPr>
        <w:t>či</w:t>
      </w:r>
      <w:r w:rsidR="009F2198" w:rsidRPr="009F2198">
        <w:rPr>
          <w:rFonts w:ascii="Arial" w:hAnsi="Arial" w:cs="Arial"/>
          <w:sz w:val="24"/>
          <w:szCs w:val="24"/>
        </w:rPr>
        <w:t xml:space="preserve"> tuků z</w:t>
      </w:r>
      <w:r w:rsidR="009F2198">
        <w:rPr>
          <w:rFonts w:ascii="Arial" w:hAnsi="Arial" w:cs="Arial"/>
          <w:sz w:val="24"/>
          <w:szCs w:val="24"/>
        </w:rPr>
        <w:t> </w:t>
      </w:r>
      <w:r w:rsidR="009F2198" w:rsidRPr="009F2198">
        <w:rPr>
          <w:rFonts w:ascii="Arial" w:hAnsi="Arial" w:cs="Arial"/>
          <w:sz w:val="24"/>
          <w:szCs w:val="24"/>
        </w:rPr>
        <w:t>potravy</w:t>
      </w:r>
      <w:r w:rsidR="009F2198">
        <w:rPr>
          <w:rFonts w:ascii="Arial" w:hAnsi="Arial" w:cs="Arial"/>
          <w:sz w:val="24"/>
          <w:szCs w:val="24"/>
        </w:rPr>
        <w:t xml:space="preserve"> a příznivě ovlivňuje procesy </w:t>
      </w:r>
      <w:r w:rsidR="009F2198" w:rsidRPr="009F2198">
        <w:rPr>
          <w:rFonts w:ascii="Arial" w:hAnsi="Arial" w:cs="Arial"/>
          <w:sz w:val="24"/>
          <w:szCs w:val="24"/>
        </w:rPr>
        <w:t xml:space="preserve">přeměny zásobních cukrů v játrech </w:t>
      </w:r>
      <w:r w:rsidR="009F2198">
        <w:rPr>
          <w:rFonts w:ascii="Arial" w:hAnsi="Arial" w:cs="Arial"/>
          <w:sz w:val="24"/>
          <w:szCs w:val="24"/>
        </w:rPr>
        <w:t>i</w:t>
      </w:r>
      <w:r w:rsidR="009F2198" w:rsidRPr="009F2198">
        <w:rPr>
          <w:rFonts w:ascii="Arial" w:hAnsi="Arial" w:cs="Arial"/>
          <w:sz w:val="24"/>
          <w:szCs w:val="24"/>
        </w:rPr>
        <w:t xml:space="preserve"> svalech na energii.</w:t>
      </w:r>
      <w:r w:rsidR="00A25CF8">
        <w:rPr>
          <w:rFonts w:ascii="Arial" w:hAnsi="Arial" w:cs="Arial"/>
          <w:sz w:val="24"/>
          <w:szCs w:val="24"/>
        </w:rPr>
        <w:t xml:space="preserve"> Velký význam má tato látka rovněž při tvorbě červených krvinek a v neposlední řadě </w:t>
      </w:r>
      <w:r w:rsidR="000427B7">
        <w:rPr>
          <w:rFonts w:ascii="Arial" w:hAnsi="Arial" w:cs="Arial"/>
          <w:sz w:val="24"/>
          <w:szCs w:val="24"/>
        </w:rPr>
        <w:t>přispívá ke správné funkci nervového i imunitního systému.</w:t>
      </w:r>
    </w:p>
    <w:p w14:paraId="477D11E8" w14:textId="5FF9D43C" w:rsidR="0003356B" w:rsidRPr="00435B76" w:rsidRDefault="00C46086">
      <w:pPr>
        <w:rPr>
          <w:rFonts w:ascii="Arial" w:hAnsi="Arial" w:cs="Arial"/>
          <w:sz w:val="24"/>
          <w:szCs w:val="24"/>
        </w:rPr>
      </w:pPr>
      <w:hyperlink r:id="rId6" w:history="1">
        <w:r w:rsidR="003A1350" w:rsidRPr="00C62AE4">
          <w:rPr>
            <w:rStyle w:val="Hypertextovodkaz"/>
            <w:rFonts w:ascii="Arial" w:hAnsi="Arial" w:cs="Arial"/>
            <w:sz w:val="24"/>
            <w:szCs w:val="24"/>
          </w:rPr>
          <w:t>Vědecké studie</w:t>
        </w:r>
      </w:hyperlink>
      <w:r w:rsidR="003A1350">
        <w:rPr>
          <w:rFonts w:ascii="Arial" w:hAnsi="Arial" w:cs="Arial"/>
          <w:sz w:val="24"/>
          <w:szCs w:val="24"/>
        </w:rPr>
        <w:t xml:space="preserve"> potvrdily také </w:t>
      </w:r>
      <w:r w:rsidR="00F619FB">
        <w:rPr>
          <w:rFonts w:ascii="Arial" w:hAnsi="Arial" w:cs="Arial"/>
          <w:sz w:val="24"/>
          <w:szCs w:val="24"/>
        </w:rPr>
        <w:t xml:space="preserve">význam magnézia při </w:t>
      </w:r>
      <w:proofErr w:type="spellStart"/>
      <w:r w:rsidR="00F619FB">
        <w:rPr>
          <w:rFonts w:ascii="Arial" w:hAnsi="Arial" w:cs="Arial"/>
          <w:sz w:val="24"/>
          <w:szCs w:val="24"/>
        </w:rPr>
        <w:t>metabolizaci</w:t>
      </w:r>
      <w:proofErr w:type="spellEnd"/>
      <w:r w:rsidR="003A1350">
        <w:rPr>
          <w:rFonts w:ascii="Arial" w:hAnsi="Arial" w:cs="Arial"/>
          <w:sz w:val="24"/>
          <w:szCs w:val="24"/>
        </w:rPr>
        <w:t xml:space="preserve"> v</w:t>
      </w:r>
      <w:r w:rsidR="002973C0" w:rsidRPr="002973C0">
        <w:rPr>
          <w:rFonts w:ascii="Arial" w:hAnsi="Arial" w:cs="Arial"/>
          <w:sz w:val="24"/>
          <w:szCs w:val="24"/>
        </w:rPr>
        <w:t>itamin</w:t>
      </w:r>
      <w:r w:rsidR="003A1350">
        <w:rPr>
          <w:rFonts w:ascii="Arial" w:hAnsi="Arial" w:cs="Arial"/>
          <w:sz w:val="24"/>
          <w:szCs w:val="24"/>
        </w:rPr>
        <w:t>u</w:t>
      </w:r>
      <w:r w:rsidR="002973C0" w:rsidRPr="002973C0">
        <w:rPr>
          <w:rFonts w:ascii="Arial" w:hAnsi="Arial" w:cs="Arial"/>
          <w:sz w:val="24"/>
          <w:szCs w:val="24"/>
        </w:rPr>
        <w:t xml:space="preserve"> D</w:t>
      </w:r>
      <w:r w:rsidR="00C62AE4">
        <w:rPr>
          <w:rFonts w:ascii="Arial" w:hAnsi="Arial" w:cs="Arial"/>
          <w:sz w:val="24"/>
          <w:szCs w:val="24"/>
        </w:rPr>
        <w:t xml:space="preserve">. Pokud tělo trpí nedostatkem </w:t>
      </w:r>
      <w:r w:rsidR="00E91125">
        <w:rPr>
          <w:rFonts w:ascii="Arial" w:hAnsi="Arial" w:cs="Arial"/>
          <w:sz w:val="24"/>
          <w:szCs w:val="24"/>
        </w:rPr>
        <w:t>hořčíku, vitamin D se v těle ukládá a zůstává neaktivní.</w:t>
      </w:r>
      <w:r w:rsidR="00C95273">
        <w:rPr>
          <w:rFonts w:ascii="Arial" w:hAnsi="Arial" w:cs="Arial"/>
          <w:sz w:val="24"/>
          <w:szCs w:val="24"/>
        </w:rPr>
        <w:t xml:space="preserve"> Na příjem tohoto minerálu je tedy vhodné dbát také v případě, že užíváte doplňky stravy s vitaminem D</w:t>
      </w:r>
      <w:r w:rsidR="00B40CB2">
        <w:rPr>
          <w:rFonts w:ascii="Arial" w:hAnsi="Arial" w:cs="Arial"/>
          <w:sz w:val="24"/>
          <w:szCs w:val="24"/>
        </w:rPr>
        <w:t>.</w:t>
      </w:r>
    </w:p>
    <w:sectPr w:rsidR="0003356B" w:rsidRPr="0043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10C9D"/>
    <w:multiLevelType w:val="hybridMultilevel"/>
    <w:tmpl w:val="470E4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179B4"/>
    <w:multiLevelType w:val="hybridMultilevel"/>
    <w:tmpl w:val="64FC8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7555"/>
    <w:multiLevelType w:val="hybridMultilevel"/>
    <w:tmpl w:val="25242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02F79"/>
    <w:multiLevelType w:val="hybridMultilevel"/>
    <w:tmpl w:val="F8EAC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A4464"/>
    <w:multiLevelType w:val="hybridMultilevel"/>
    <w:tmpl w:val="DDB2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76"/>
    <w:rsid w:val="00004207"/>
    <w:rsid w:val="00005AAA"/>
    <w:rsid w:val="0003356B"/>
    <w:rsid w:val="000415A7"/>
    <w:rsid w:val="000427B7"/>
    <w:rsid w:val="0004626E"/>
    <w:rsid w:val="0006277D"/>
    <w:rsid w:val="00071FF6"/>
    <w:rsid w:val="00076704"/>
    <w:rsid w:val="00087019"/>
    <w:rsid w:val="000B764D"/>
    <w:rsid w:val="000C1A5D"/>
    <w:rsid w:val="000F6A37"/>
    <w:rsid w:val="001371D7"/>
    <w:rsid w:val="00154E2D"/>
    <w:rsid w:val="00160906"/>
    <w:rsid w:val="00181DBC"/>
    <w:rsid w:val="0018383A"/>
    <w:rsid w:val="00194104"/>
    <w:rsid w:val="001C01BE"/>
    <w:rsid w:val="001E0303"/>
    <w:rsid w:val="001F3B1E"/>
    <w:rsid w:val="00272B12"/>
    <w:rsid w:val="0027669A"/>
    <w:rsid w:val="002973C0"/>
    <w:rsid w:val="002A33FB"/>
    <w:rsid w:val="002A687E"/>
    <w:rsid w:val="002B7F40"/>
    <w:rsid w:val="002D38F1"/>
    <w:rsid w:val="00321FF9"/>
    <w:rsid w:val="00340B8F"/>
    <w:rsid w:val="00341EB0"/>
    <w:rsid w:val="00344E09"/>
    <w:rsid w:val="00353F3C"/>
    <w:rsid w:val="00362030"/>
    <w:rsid w:val="003632F5"/>
    <w:rsid w:val="00385821"/>
    <w:rsid w:val="003A1350"/>
    <w:rsid w:val="003B0FAA"/>
    <w:rsid w:val="003B3A0E"/>
    <w:rsid w:val="003D0742"/>
    <w:rsid w:val="003E3F17"/>
    <w:rsid w:val="003F63BC"/>
    <w:rsid w:val="003F7CF0"/>
    <w:rsid w:val="00412D14"/>
    <w:rsid w:val="00435B76"/>
    <w:rsid w:val="00436FCF"/>
    <w:rsid w:val="00451E87"/>
    <w:rsid w:val="00463457"/>
    <w:rsid w:val="00466623"/>
    <w:rsid w:val="00494329"/>
    <w:rsid w:val="00496854"/>
    <w:rsid w:val="004A613E"/>
    <w:rsid w:val="004D2165"/>
    <w:rsid w:val="004D5BB1"/>
    <w:rsid w:val="004F0C39"/>
    <w:rsid w:val="00501065"/>
    <w:rsid w:val="005132EB"/>
    <w:rsid w:val="0053328F"/>
    <w:rsid w:val="00534DB3"/>
    <w:rsid w:val="00560DD9"/>
    <w:rsid w:val="00566B96"/>
    <w:rsid w:val="00575D62"/>
    <w:rsid w:val="0058796F"/>
    <w:rsid w:val="00601446"/>
    <w:rsid w:val="00631B83"/>
    <w:rsid w:val="00641465"/>
    <w:rsid w:val="00660C5A"/>
    <w:rsid w:val="0067193B"/>
    <w:rsid w:val="006A0FF2"/>
    <w:rsid w:val="006A24D0"/>
    <w:rsid w:val="006A36C3"/>
    <w:rsid w:val="006B4715"/>
    <w:rsid w:val="006D5BEE"/>
    <w:rsid w:val="006E305A"/>
    <w:rsid w:val="006F75F1"/>
    <w:rsid w:val="0070793A"/>
    <w:rsid w:val="00716686"/>
    <w:rsid w:val="0074130B"/>
    <w:rsid w:val="00762151"/>
    <w:rsid w:val="00763B71"/>
    <w:rsid w:val="00765437"/>
    <w:rsid w:val="007940B7"/>
    <w:rsid w:val="007B30A7"/>
    <w:rsid w:val="007C4A34"/>
    <w:rsid w:val="00822D14"/>
    <w:rsid w:val="00837E75"/>
    <w:rsid w:val="008417EA"/>
    <w:rsid w:val="008504B0"/>
    <w:rsid w:val="00865FAC"/>
    <w:rsid w:val="008B1351"/>
    <w:rsid w:val="008D4EC6"/>
    <w:rsid w:val="009016A0"/>
    <w:rsid w:val="00906DA9"/>
    <w:rsid w:val="0091796A"/>
    <w:rsid w:val="00925847"/>
    <w:rsid w:val="009426B8"/>
    <w:rsid w:val="00946240"/>
    <w:rsid w:val="009613FF"/>
    <w:rsid w:val="00963C54"/>
    <w:rsid w:val="0096698E"/>
    <w:rsid w:val="00981128"/>
    <w:rsid w:val="00990084"/>
    <w:rsid w:val="009A4505"/>
    <w:rsid w:val="009B21E3"/>
    <w:rsid w:val="009D60E0"/>
    <w:rsid w:val="009D7A44"/>
    <w:rsid w:val="009E4EFD"/>
    <w:rsid w:val="009F2198"/>
    <w:rsid w:val="00A25CF8"/>
    <w:rsid w:val="00A27BB5"/>
    <w:rsid w:val="00A37EBC"/>
    <w:rsid w:val="00A419B3"/>
    <w:rsid w:val="00A4360F"/>
    <w:rsid w:val="00A54723"/>
    <w:rsid w:val="00A606FD"/>
    <w:rsid w:val="00A65E1C"/>
    <w:rsid w:val="00A73BEE"/>
    <w:rsid w:val="00A9138D"/>
    <w:rsid w:val="00AC3741"/>
    <w:rsid w:val="00AE3168"/>
    <w:rsid w:val="00B00F7D"/>
    <w:rsid w:val="00B2442E"/>
    <w:rsid w:val="00B25514"/>
    <w:rsid w:val="00B26430"/>
    <w:rsid w:val="00B378BE"/>
    <w:rsid w:val="00B40CB2"/>
    <w:rsid w:val="00B63183"/>
    <w:rsid w:val="00B7117E"/>
    <w:rsid w:val="00B87C07"/>
    <w:rsid w:val="00BE2C97"/>
    <w:rsid w:val="00BF1C48"/>
    <w:rsid w:val="00C12D31"/>
    <w:rsid w:val="00C46086"/>
    <w:rsid w:val="00C62AE4"/>
    <w:rsid w:val="00C93C7A"/>
    <w:rsid w:val="00C95273"/>
    <w:rsid w:val="00CA287F"/>
    <w:rsid w:val="00CA611D"/>
    <w:rsid w:val="00CD040A"/>
    <w:rsid w:val="00CD37E7"/>
    <w:rsid w:val="00CD39AF"/>
    <w:rsid w:val="00CE2167"/>
    <w:rsid w:val="00D0624B"/>
    <w:rsid w:val="00D068EE"/>
    <w:rsid w:val="00D21049"/>
    <w:rsid w:val="00D44CAE"/>
    <w:rsid w:val="00D56850"/>
    <w:rsid w:val="00D8241F"/>
    <w:rsid w:val="00DA32CC"/>
    <w:rsid w:val="00DC2495"/>
    <w:rsid w:val="00DF1EFF"/>
    <w:rsid w:val="00E466E8"/>
    <w:rsid w:val="00E47685"/>
    <w:rsid w:val="00E55F5E"/>
    <w:rsid w:val="00E76C7D"/>
    <w:rsid w:val="00E831EC"/>
    <w:rsid w:val="00E91125"/>
    <w:rsid w:val="00E9705F"/>
    <w:rsid w:val="00EA2E94"/>
    <w:rsid w:val="00EA5D45"/>
    <w:rsid w:val="00EB566E"/>
    <w:rsid w:val="00EC0DBE"/>
    <w:rsid w:val="00EC291C"/>
    <w:rsid w:val="00F260AF"/>
    <w:rsid w:val="00F606DA"/>
    <w:rsid w:val="00F619FB"/>
    <w:rsid w:val="00F63F2F"/>
    <w:rsid w:val="00F72A01"/>
    <w:rsid w:val="00F75FE0"/>
    <w:rsid w:val="00F824B5"/>
    <w:rsid w:val="00F9175F"/>
    <w:rsid w:val="00F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E81D"/>
  <w15:chartTrackingRefBased/>
  <w15:docId w15:val="{5A07F238-653D-4035-9380-63C191D2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7EA"/>
    <w:pPr>
      <w:ind w:left="720"/>
      <w:contextualSpacing/>
    </w:pPr>
  </w:style>
  <w:style w:type="table" w:styleId="Mkatabulky">
    <w:name w:val="Table Grid"/>
    <w:basedOn w:val="Normlntabulka"/>
    <w:uiPriority w:val="39"/>
    <w:rsid w:val="00F8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62A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2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daily.com/releases/2018/02/180226122548.htm" TargetMode="External"/><Relationship Id="rId5" Type="http://schemas.openxmlformats.org/officeDocument/2006/relationships/hyperlink" Target="https://www.sciencedaily.com/releases/2019/11/19112114134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4</Pages>
  <Words>1254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Jáchym Šlik</dc:creator>
  <cp:keywords/>
  <dc:description/>
  <cp:lastModifiedBy>Jáchym Šlik</cp:lastModifiedBy>
  <cp:revision>154</cp:revision>
  <dcterms:created xsi:type="dcterms:W3CDTF">2020-02-18T08:58:00Z</dcterms:created>
  <dcterms:modified xsi:type="dcterms:W3CDTF">2020-11-02T23:55:00Z</dcterms:modified>
</cp:coreProperties>
</file>