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48D15" w14:textId="7A91E717" w:rsidR="00454E57" w:rsidRDefault="00454E57" w:rsidP="009E6BC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F4BF35F" wp14:editId="5F8BD8AC">
            <wp:extent cx="4029075" cy="1543050"/>
            <wp:effectExtent l="0" t="0" r="9525" b="0"/>
            <wp:docPr id="1487734398" name="Obrázek 24" descr="Image result for logo fsi uj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Image result for logo fsi uje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24FC" w14:textId="77777777" w:rsidR="00454E57" w:rsidRDefault="00454E57" w:rsidP="00454E57">
      <w:pPr>
        <w:jc w:val="center"/>
        <w:rPr>
          <w:rFonts w:ascii="Times New Roman" w:hAnsi="Times New Roman" w:cs="Times New Roman"/>
        </w:rPr>
      </w:pPr>
    </w:p>
    <w:p w14:paraId="0D48C6E5" w14:textId="77777777" w:rsidR="00454E57" w:rsidRDefault="00454E57" w:rsidP="00454E57">
      <w:pPr>
        <w:jc w:val="center"/>
        <w:rPr>
          <w:rFonts w:ascii="Times New Roman" w:hAnsi="Times New Roman" w:cs="Times New Roman"/>
        </w:rPr>
      </w:pPr>
    </w:p>
    <w:p w14:paraId="3C02EF85" w14:textId="77777777" w:rsidR="00454E57" w:rsidRDefault="00454E57" w:rsidP="00454E57">
      <w:pPr>
        <w:jc w:val="center"/>
        <w:rPr>
          <w:rFonts w:ascii="Times New Roman" w:hAnsi="Times New Roman" w:cs="Times New Roman"/>
        </w:rPr>
      </w:pPr>
    </w:p>
    <w:p w14:paraId="57ABA139" w14:textId="77777777" w:rsidR="00454E57" w:rsidRDefault="00454E57" w:rsidP="00454E57">
      <w:pPr>
        <w:jc w:val="center"/>
        <w:rPr>
          <w:rFonts w:ascii="Times New Roman" w:hAnsi="Times New Roman" w:cs="Times New Roman"/>
        </w:rPr>
      </w:pPr>
    </w:p>
    <w:p w14:paraId="6E54F4BA" w14:textId="77777777" w:rsidR="00454E57" w:rsidRDefault="00454E57" w:rsidP="00454E57">
      <w:pPr>
        <w:jc w:val="center"/>
        <w:rPr>
          <w:rFonts w:ascii="Times New Roman" w:hAnsi="Times New Roman" w:cs="Times New Roman"/>
        </w:rPr>
      </w:pPr>
    </w:p>
    <w:p w14:paraId="4C3D686C" w14:textId="77777777" w:rsidR="00454E57" w:rsidRDefault="00454E57" w:rsidP="00454E57">
      <w:pPr>
        <w:jc w:val="center"/>
        <w:rPr>
          <w:rFonts w:ascii="Times New Roman" w:hAnsi="Times New Roman" w:cs="Times New Roman"/>
        </w:rPr>
      </w:pPr>
    </w:p>
    <w:p w14:paraId="3A1713DF" w14:textId="77777777" w:rsidR="009E6BC1" w:rsidRPr="000D3EB3" w:rsidRDefault="009E6BC1" w:rsidP="00454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00"/>
          <w:sz w:val="56"/>
          <w:szCs w:val="56"/>
          <w:shd w:val="clear" w:color="auto" w:fill="F9F9F9"/>
        </w:rPr>
      </w:pPr>
      <w:r w:rsidRPr="000D3EB3">
        <w:rPr>
          <w:rFonts w:ascii="Tahoma" w:hAnsi="Tahoma" w:cs="Tahoma"/>
          <w:b/>
          <w:bCs/>
          <w:color w:val="000000"/>
          <w:sz w:val="56"/>
          <w:szCs w:val="56"/>
          <w:shd w:val="clear" w:color="auto" w:fill="F9F9F9"/>
        </w:rPr>
        <w:t>Optimalizace strojních konstrukcí</w:t>
      </w:r>
    </w:p>
    <w:p w14:paraId="10C4F6FD" w14:textId="7CC98665" w:rsidR="00454E57" w:rsidRPr="000D3EB3" w:rsidRDefault="00454E57" w:rsidP="00454E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16"/>
        </w:rPr>
      </w:pPr>
      <w:r w:rsidRPr="000D3EB3">
        <w:rPr>
          <w:rFonts w:ascii="Times New Roman" w:hAnsi="Times New Roman" w:cs="Times New Roman"/>
          <w:b/>
          <w:sz w:val="36"/>
          <w:szCs w:val="16"/>
        </w:rPr>
        <w:t>USE/KV0</w:t>
      </w:r>
      <w:r w:rsidR="009E6BC1" w:rsidRPr="000D3EB3">
        <w:rPr>
          <w:rFonts w:ascii="Times New Roman" w:hAnsi="Times New Roman" w:cs="Times New Roman"/>
          <w:b/>
          <w:sz w:val="36"/>
          <w:szCs w:val="16"/>
        </w:rPr>
        <w:t>15</w:t>
      </w:r>
    </w:p>
    <w:p w14:paraId="6F43F863" w14:textId="77777777" w:rsidR="00454E57" w:rsidRDefault="00454E57" w:rsidP="00454E57">
      <w:pPr>
        <w:jc w:val="center"/>
        <w:rPr>
          <w:rFonts w:ascii="Times New Roman" w:hAnsi="Times New Roman" w:cs="Times New Roman"/>
        </w:rPr>
      </w:pPr>
    </w:p>
    <w:p w14:paraId="1D9CDBD0" w14:textId="77777777" w:rsidR="00454E57" w:rsidRDefault="00454E57" w:rsidP="00454E57">
      <w:pPr>
        <w:jc w:val="center"/>
        <w:rPr>
          <w:rFonts w:ascii="Times New Roman" w:hAnsi="Times New Roman" w:cs="Times New Roman"/>
        </w:rPr>
      </w:pPr>
    </w:p>
    <w:p w14:paraId="25A97921" w14:textId="77777777" w:rsidR="00454E57" w:rsidRDefault="00454E57" w:rsidP="00454E57">
      <w:pPr>
        <w:jc w:val="center"/>
        <w:rPr>
          <w:rFonts w:ascii="Times New Roman" w:hAnsi="Times New Roman" w:cs="Times New Roman"/>
        </w:rPr>
      </w:pPr>
    </w:p>
    <w:p w14:paraId="7198B429" w14:textId="77777777" w:rsidR="00454E57" w:rsidRDefault="00454E57" w:rsidP="00454E5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SEMESTRÁLNÍ PRÁCE</w:t>
      </w:r>
    </w:p>
    <w:p w14:paraId="0A448C8C" w14:textId="71A4B38A" w:rsidR="00454E57" w:rsidRDefault="009E6BC1" w:rsidP="00454E57">
      <w:pPr>
        <w:pStyle w:val="Odstavecseseznamem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Optimalizace uchycení nádoby</w:t>
      </w:r>
    </w:p>
    <w:p w14:paraId="02D08FE2" w14:textId="77777777" w:rsidR="00454E57" w:rsidRDefault="00454E57" w:rsidP="00454E57">
      <w:pPr>
        <w:pStyle w:val="Odstavecseseznamem"/>
        <w:ind w:left="0"/>
        <w:jc w:val="center"/>
        <w:rPr>
          <w:rFonts w:ascii="Times New Roman" w:hAnsi="Times New Roman" w:cs="Times New Roman"/>
        </w:rPr>
      </w:pPr>
    </w:p>
    <w:p w14:paraId="162C8D59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4637444F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51446549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47EE9283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26778222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51C82453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0626530E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7D13DF5E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7E6D105B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391972F6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p w14:paraId="205C239B" w14:textId="77777777" w:rsidR="00454E57" w:rsidRDefault="00454E57" w:rsidP="00454E57">
      <w:pPr>
        <w:pStyle w:val="Odstavecseseznamem"/>
        <w:ind w:left="0"/>
        <w:rPr>
          <w:rFonts w:ascii="Times New Roman" w:hAnsi="Times New Roman" w:cs="Times New Roman"/>
        </w:rPr>
      </w:pPr>
    </w:p>
    <w:tbl>
      <w:tblPr>
        <w:tblStyle w:val="Mkatabulky"/>
        <w:tblW w:w="0" w:type="auto"/>
        <w:tblInd w:w="1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12"/>
        <w:gridCol w:w="2286"/>
      </w:tblGrid>
      <w:tr w:rsidR="00454E57" w14:paraId="2A22A9C7" w14:textId="77777777" w:rsidTr="00612031">
        <w:trPr>
          <w:trHeight w:val="379"/>
        </w:trPr>
        <w:tc>
          <w:tcPr>
            <w:tcW w:w="2533" w:type="dxa"/>
            <w:hideMark/>
          </w:tcPr>
          <w:p w14:paraId="09CEBBCA" w14:textId="77777777" w:rsidR="00454E57" w:rsidRDefault="00454E57">
            <w:pPr>
              <w:pStyle w:val="Odstavecseseznamem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Vypracoval:</w:t>
            </w:r>
          </w:p>
        </w:tc>
        <w:tc>
          <w:tcPr>
            <w:tcW w:w="2512" w:type="dxa"/>
            <w:hideMark/>
          </w:tcPr>
          <w:p w14:paraId="5B06FCFD" w14:textId="77777777" w:rsidR="00454E57" w:rsidRDefault="00454E57">
            <w:pPr>
              <w:pStyle w:val="Odstavecseseznamem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Vít Laskoš</w:t>
            </w:r>
          </w:p>
        </w:tc>
        <w:tc>
          <w:tcPr>
            <w:tcW w:w="2286" w:type="dxa"/>
          </w:tcPr>
          <w:p w14:paraId="36245020" w14:textId="77777777" w:rsidR="00454E57" w:rsidRDefault="00454E57">
            <w:pPr>
              <w:pStyle w:val="Odstavecseseznamem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454E57" w14:paraId="060A184A" w14:textId="77777777" w:rsidTr="00612031">
        <w:trPr>
          <w:trHeight w:val="356"/>
        </w:trPr>
        <w:tc>
          <w:tcPr>
            <w:tcW w:w="2533" w:type="dxa"/>
            <w:hideMark/>
          </w:tcPr>
          <w:p w14:paraId="0ED7FC15" w14:textId="77777777" w:rsidR="00454E57" w:rsidRDefault="00454E57">
            <w:pPr>
              <w:pStyle w:val="Odstavecseseznamem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Datum:</w:t>
            </w:r>
          </w:p>
        </w:tc>
        <w:tc>
          <w:tcPr>
            <w:tcW w:w="2512" w:type="dxa"/>
            <w:hideMark/>
          </w:tcPr>
          <w:p w14:paraId="0EEE5B5E" w14:textId="77777777" w:rsidR="00454E57" w:rsidRDefault="00454E57">
            <w:pPr>
              <w:pStyle w:val="Odstavecseseznamem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23.10.2023</w:t>
            </w:r>
          </w:p>
        </w:tc>
        <w:tc>
          <w:tcPr>
            <w:tcW w:w="2286" w:type="dxa"/>
          </w:tcPr>
          <w:p w14:paraId="6933DF4A" w14:textId="77777777" w:rsidR="00454E57" w:rsidRDefault="00454E57">
            <w:pPr>
              <w:pStyle w:val="Odstavecseseznamem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4DDB0ABD" w14:textId="63F3A039" w:rsidR="001A191B" w:rsidRDefault="005F057B" w:rsidP="005F057B">
      <w:pPr>
        <w:pStyle w:val="Nadpis1"/>
        <w:numPr>
          <w:ilvl w:val="0"/>
          <w:numId w:val="1"/>
        </w:numPr>
        <w:spacing w:after="240"/>
        <w:ind w:left="357" w:hanging="357"/>
        <w:rPr>
          <w:rFonts w:ascii="Times New Roman" w:eastAsia="Times New Roman" w:hAnsi="Times New Roman" w:cs="Arial"/>
          <w:b/>
          <w:bCs/>
          <w:iCs/>
          <w:caps/>
          <w:color w:val="auto"/>
          <w:sz w:val="26"/>
          <w:szCs w:val="28"/>
          <w:lang w:eastAsia="cs-CZ"/>
        </w:rPr>
      </w:pPr>
      <w:bookmarkStart w:id="0" w:name="_Toc134707368"/>
      <w:bookmarkStart w:id="1" w:name="_Toc134707353"/>
      <w:r w:rsidRPr="005F057B">
        <w:rPr>
          <w:rFonts w:ascii="Times New Roman" w:eastAsia="Times New Roman" w:hAnsi="Times New Roman" w:cs="Arial"/>
          <w:b/>
          <w:bCs/>
          <w:iCs/>
          <w:caps/>
          <w:color w:val="auto"/>
          <w:sz w:val="26"/>
          <w:szCs w:val="28"/>
          <w:lang w:eastAsia="cs-CZ"/>
        </w:rPr>
        <w:lastRenderedPageBreak/>
        <w:t>Úvod</w:t>
      </w:r>
      <w:bookmarkEnd w:id="1"/>
    </w:p>
    <w:p w14:paraId="6A1D7F42" w14:textId="47D2CC5B" w:rsidR="003662C3" w:rsidRDefault="003662C3" w:rsidP="003662C3">
      <w:pPr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ISO kontejnery jsou standardizovaná přepravní zařízení pro přepravu po vodě, silnici a železnici. Konstrukce zařízení je v souladu s mezinárodními standardy ISO. Mezi nejdůležitější standardy pro tvorbu tohoto produktu patří ČSN ISO 1496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Kontejnery řady 1 – Technické požadavky a zkoušení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dále pak ČSN ISO 668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Kontejnery řady 1 – Třídění, rozměry a brutto hmotnosti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v poslední řadě ČSN EN 13530-2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Kryogenické nádoby – Velké přepravní vakuově izolované nádoby – Část 2: Konstrukce, výroba, kontrola a zkoušení.</w:t>
      </w:r>
    </w:p>
    <w:p w14:paraId="08A7E89D" w14:textId="77777777" w:rsidR="003662C3" w:rsidRDefault="003662C3" w:rsidP="003662C3">
      <w:pPr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ISO kontejner je tvořen vnitřní a vnější nádobou uchycenou v rámové konstrukci splňující veškeré požadavky pro mezinárodní přepravu. Vnitřní nádoba je uchycena dvěma podpěrnými systémy k nádobě vnější, vnitřní nádoba je izolovaná a odstíněna od vnějších tepelných vlivů za pomoci izolační vrstvy a vakua v meziprostoru. Vnější nádoba je dále uchycena v rámové konstrukci.</w:t>
      </w:r>
    </w:p>
    <w:p w14:paraId="09205B0B" w14:textId="77777777" w:rsidR="003662C3" w:rsidRPr="003662C3" w:rsidRDefault="003662C3" w:rsidP="003662C3">
      <w:pPr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662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Tato práce se bude především zabývat podpůrným systémem uchycení vnitřní nádoby. </w:t>
      </w:r>
    </w:p>
    <w:p w14:paraId="18A277FE" w14:textId="0536246F" w:rsidR="00612031" w:rsidRDefault="00612031" w:rsidP="003662C3">
      <w:pPr>
        <w:pStyle w:val="Nadpis1"/>
        <w:numPr>
          <w:ilvl w:val="0"/>
          <w:numId w:val="1"/>
        </w:numPr>
        <w:spacing w:after="240"/>
        <w:ind w:left="357" w:hanging="357"/>
        <w:rPr>
          <w:rFonts w:ascii="Times New Roman" w:eastAsia="Times New Roman" w:hAnsi="Times New Roman" w:cs="Arial"/>
          <w:b/>
          <w:bCs/>
          <w:iCs/>
          <w:caps/>
          <w:color w:val="auto"/>
          <w:sz w:val="26"/>
          <w:szCs w:val="28"/>
          <w:lang w:eastAsia="cs-CZ"/>
        </w:rPr>
      </w:pPr>
      <w:r>
        <w:rPr>
          <w:rFonts w:ascii="Times New Roman" w:eastAsia="Times New Roman" w:hAnsi="Times New Roman" w:cs="Arial"/>
          <w:b/>
          <w:bCs/>
          <w:iCs/>
          <w:caps/>
          <w:color w:val="auto"/>
          <w:sz w:val="26"/>
          <w:szCs w:val="28"/>
          <w:lang w:eastAsia="cs-CZ"/>
        </w:rPr>
        <w:t>Labyrint + 4 táhla</w:t>
      </w:r>
      <w:bookmarkEnd w:id="0"/>
      <w:r>
        <w:rPr>
          <w:rFonts w:ascii="Times New Roman" w:eastAsia="Times New Roman" w:hAnsi="Times New Roman" w:cs="Arial"/>
          <w:b/>
          <w:bCs/>
          <w:iCs/>
          <w:caps/>
          <w:color w:val="auto"/>
          <w:sz w:val="26"/>
          <w:szCs w:val="28"/>
          <w:lang w:eastAsia="cs-CZ"/>
        </w:rPr>
        <w:t xml:space="preserve"> </w:t>
      </w:r>
    </w:p>
    <w:p w14:paraId="5841D4D2" w14:textId="0E9ED32C" w:rsidR="00C029BA" w:rsidRDefault="00C029BA" w:rsidP="00C029BA">
      <w:pPr>
        <w:spacing w:after="12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První zvolenou variantou je uchycení na jedné straně za pomoci 4 táhel, která poslouží jako pružná podpěra, na druhé straně za pomoci labyrintové podpěry, která poslouží jako fixní bod nádoby, ke kterému bude dilatovat. Model nádoby byl zhotoven v softwaru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Solidworks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následně detailně přezkoumán v softwaru ANSYS.</w:t>
      </w:r>
    </w:p>
    <w:p w14:paraId="708E54C7" w14:textId="7B0C0950" w:rsidR="00C029BA" w:rsidRDefault="00C029BA" w:rsidP="00C029BA">
      <w:r>
        <w:rPr>
          <w:noProof/>
        </w:rPr>
        <w:drawing>
          <wp:inline distT="0" distB="0" distL="0" distR="0" wp14:anchorId="58F93120" wp14:editId="5B7A39E6">
            <wp:extent cx="5362575" cy="1190625"/>
            <wp:effectExtent l="0" t="0" r="9525" b="9525"/>
            <wp:docPr id="659737306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743FE" w14:textId="7E17F8E7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>Obr. 1 Návrh kontejneru s uchycením labyrint + táhla</w:t>
      </w:r>
    </w:p>
    <w:p w14:paraId="71D817C0" w14:textId="77777777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Většina geometrie je převedena na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skořepinové prvky se správnou tloušťkou. Labyrint je vytvořen objemovými prvky s ohledem na polohu tupých svarů. Části spojů jsou pevné a jsou spojeny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skořepinovými prvky.</w:t>
      </w:r>
    </w:p>
    <w:p w14:paraId="0A140E99" w14:textId="38C97A66" w:rsidR="00C029BA" w:rsidRDefault="00C029BA" w:rsidP="00C029BA">
      <w:pPr>
        <w:jc w:val="center"/>
      </w:pPr>
      <w:r>
        <w:rPr>
          <w:noProof/>
        </w:rPr>
        <w:lastRenderedPageBreak/>
        <w:drawing>
          <wp:inline distT="0" distB="0" distL="0" distR="0" wp14:anchorId="6ADE90A9" wp14:editId="62ECFD97">
            <wp:extent cx="2105025" cy="3400425"/>
            <wp:effectExtent l="0" t="0" r="9525" b="9525"/>
            <wp:docPr id="23135831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7760883F" wp14:editId="28D6DF63">
            <wp:extent cx="2333625" cy="3305175"/>
            <wp:effectExtent l="0" t="0" r="9525" b="9525"/>
            <wp:docPr id="114165389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F8FA" w14:textId="02E7E691" w:rsidR="00C029BA" w:rsidRDefault="00C029BA" w:rsidP="00C029BA">
      <w:pPr>
        <w:jc w:val="center"/>
        <w:rPr>
          <w:i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3662C3">
        <w:rPr>
          <w:rFonts w:ascii="Times New Roman" w:eastAsia="Times New Roman" w:hAnsi="Times New Roman" w:cs="Times New Roman"/>
          <w:i/>
          <w:szCs w:val="24"/>
          <w:lang w:eastAsia="cs-CZ"/>
        </w:rPr>
        <w:t>2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Labyrintová podpěra</w:t>
      </w:r>
      <w:r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3662C3">
        <w:rPr>
          <w:rFonts w:ascii="Times New Roman" w:eastAsia="Times New Roman" w:hAnsi="Times New Roman" w:cs="Times New Roman"/>
          <w:i/>
          <w:szCs w:val="24"/>
          <w:lang w:eastAsia="cs-CZ"/>
        </w:rPr>
        <w:t>3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Uchycení za pomoci táhel</w:t>
      </w:r>
    </w:p>
    <w:p w14:paraId="0FF09279" w14:textId="77777777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Závěsný podpůrný systém je spojen s vnitřní nádobou pomocí 4 šroubů M18. Neexistuje žádné další spojení nebo kontakt. Otočný kloub se používá jako zjednodušení čepového kloubu.  Ten spojí DOF připojených částí a umožňuje pouze otáčení.</w:t>
      </w:r>
    </w:p>
    <w:p w14:paraId="1B2FE4FB" w14:textId="1ADD7C3A" w:rsidR="00C029BA" w:rsidRDefault="00C029BA" w:rsidP="00C029BA">
      <w:r>
        <w:rPr>
          <w:noProof/>
        </w:rPr>
        <w:drawing>
          <wp:inline distT="0" distB="0" distL="0" distR="0" wp14:anchorId="4D57C59B" wp14:editId="498BFFB4">
            <wp:extent cx="5372100" cy="2781300"/>
            <wp:effectExtent l="0" t="0" r="0" b="0"/>
            <wp:docPr id="441404872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2D6E" w14:textId="41C96115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>Obr.</w:t>
      </w:r>
      <w:r w:rsidR="003662C3"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4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Ekvivalentní (von-</w:t>
      </w:r>
      <w:proofErr w:type="spellStart"/>
      <w:r>
        <w:rPr>
          <w:rFonts w:ascii="Times New Roman" w:eastAsia="Times New Roman" w:hAnsi="Times New Roman" w:cs="Times New Roman"/>
          <w:i/>
          <w:szCs w:val="24"/>
          <w:lang w:eastAsia="cs-CZ"/>
        </w:rPr>
        <w:t>Misesovo</w:t>
      </w:r>
      <w:proofErr w:type="spellEnd"/>
      <w:r>
        <w:rPr>
          <w:rFonts w:ascii="Times New Roman" w:eastAsia="Times New Roman" w:hAnsi="Times New Roman" w:cs="Times New Roman"/>
          <w:i/>
          <w:szCs w:val="24"/>
          <w:lang w:eastAsia="cs-CZ"/>
        </w:rPr>
        <w:t>) napětí [MPa]</w:t>
      </w:r>
    </w:p>
    <w:p w14:paraId="458B89EF" w14:textId="3F330E12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Výpočet s možným nelineárním chováním geometrie ukazuje možný problém ztráty stability vnějšího pláště v rovině mezi výztuhami C-kanálu. Jak je vidět z výsledků na obrázkách (</w:t>
      </w:r>
      <w:r w:rsidR="009F17BF"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). Analýza s lineárním chováním tento jev na vnějším plášti neprokázala.</w:t>
      </w:r>
    </w:p>
    <w:p w14:paraId="15377FC7" w14:textId="67B369B6" w:rsidR="00C029BA" w:rsidRDefault="00C029BA" w:rsidP="00C029BA">
      <w:pPr>
        <w:jc w:val="center"/>
      </w:pPr>
      <w:r>
        <w:rPr>
          <w:noProof/>
        </w:rPr>
        <w:drawing>
          <wp:inline distT="0" distB="0" distL="0" distR="0" wp14:anchorId="3B44BABA" wp14:editId="78DA3F18">
            <wp:extent cx="2447925" cy="2190750"/>
            <wp:effectExtent l="0" t="0" r="9525" b="0"/>
            <wp:docPr id="172372992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6BC4F3B" wp14:editId="440E5461">
            <wp:extent cx="2752725" cy="2162175"/>
            <wp:effectExtent l="0" t="0" r="9525" b="9525"/>
            <wp:docPr id="151753099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A2A1" w14:textId="7D4FB724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5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Ekvivalentní (von-</w:t>
      </w:r>
      <w:proofErr w:type="spellStart"/>
      <w:r>
        <w:rPr>
          <w:rFonts w:ascii="Times New Roman" w:eastAsia="Times New Roman" w:hAnsi="Times New Roman" w:cs="Times New Roman"/>
          <w:i/>
          <w:szCs w:val="24"/>
          <w:lang w:eastAsia="cs-CZ"/>
        </w:rPr>
        <w:t>Misesovo</w:t>
      </w:r>
      <w:proofErr w:type="spellEnd"/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) napětí [MPa]- přetížení svarového spoje </w:t>
      </w:r>
    </w:p>
    <w:p w14:paraId="2AC4A9D8" w14:textId="115E08E7" w:rsidR="00C029BA" w:rsidRDefault="00C029BA" w:rsidP="00C029BA">
      <w:pPr>
        <w:jc w:val="center"/>
      </w:pPr>
      <w:r>
        <w:rPr>
          <w:noProof/>
        </w:rPr>
        <w:lastRenderedPageBreak/>
        <w:drawing>
          <wp:inline distT="0" distB="0" distL="0" distR="0" wp14:anchorId="11386639" wp14:editId="65E4B0C3">
            <wp:extent cx="2428875" cy="2571750"/>
            <wp:effectExtent l="0" t="0" r="9525" b="0"/>
            <wp:docPr id="792295783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BB65FBD" wp14:editId="13CA2106">
            <wp:extent cx="2733675" cy="2524125"/>
            <wp:effectExtent l="0" t="0" r="9525" b="9525"/>
            <wp:docPr id="87399790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9584" w14:textId="210A87F1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6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Ekvivalentní (von-</w:t>
      </w:r>
      <w:proofErr w:type="spellStart"/>
      <w:r>
        <w:rPr>
          <w:rFonts w:ascii="Times New Roman" w:eastAsia="Times New Roman" w:hAnsi="Times New Roman" w:cs="Times New Roman"/>
          <w:i/>
          <w:szCs w:val="24"/>
          <w:lang w:eastAsia="cs-CZ"/>
        </w:rPr>
        <w:t>Misesovo</w:t>
      </w:r>
      <w:proofErr w:type="spellEnd"/>
      <w:r>
        <w:rPr>
          <w:rFonts w:ascii="Times New Roman" w:eastAsia="Times New Roman" w:hAnsi="Times New Roman" w:cs="Times New Roman"/>
          <w:i/>
          <w:szCs w:val="24"/>
          <w:lang w:eastAsia="cs-CZ"/>
        </w:rPr>
        <w:t>) napětí [MPa]- ohyb pláště</w:t>
      </w:r>
    </w:p>
    <w:p w14:paraId="0BD8BED3" w14:textId="77777777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Spojení pouzdra mezi závěsnými popruhy a vnější nádobou způsobuje ohyb pláště a vysoké napětí. Na základě výsledků se zdá, že příčinou je tepelná dilatace tlakové nádoby.</w:t>
      </w:r>
    </w:p>
    <w:p w14:paraId="151D5E46" w14:textId="77777777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Svarový spoj mezi hlavou a labyrintem je v některých případech zatížení přetížen. Možnou příčinou by mohla být vysoká tuhost labyrintu, která způsobuje vyšší sílu při menším posunu labyrintu.</w:t>
      </w:r>
    </w:p>
    <w:p w14:paraId="22B6710F" w14:textId="77777777" w:rsidR="00C029BA" w:rsidRDefault="00C029BA" w:rsidP="00C029BA"/>
    <w:p w14:paraId="4C1C06D1" w14:textId="40CA75C0" w:rsidR="00C029BA" w:rsidRDefault="00C029BA" w:rsidP="00C029BA">
      <w:pPr>
        <w:jc w:val="center"/>
      </w:pPr>
      <w:r>
        <w:rPr>
          <w:noProof/>
        </w:rPr>
        <w:drawing>
          <wp:inline distT="0" distB="0" distL="0" distR="0" wp14:anchorId="5E83B6FE" wp14:editId="7348895C">
            <wp:extent cx="2676525" cy="2990850"/>
            <wp:effectExtent l="0" t="0" r="9525" b="0"/>
            <wp:docPr id="178235534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E10063C" wp14:editId="3941FC8D">
            <wp:extent cx="2638425" cy="3000375"/>
            <wp:effectExtent l="0" t="0" r="9525" b="9525"/>
            <wp:docPr id="99963172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6CDF" w14:textId="580C68FA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7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Ekvivalentní (von-</w:t>
      </w:r>
      <w:proofErr w:type="spellStart"/>
      <w:r>
        <w:rPr>
          <w:rFonts w:ascii="Times New Roman" w:eastAsia="Times New Roman" w:hAnsi="Times New Roman" w:cs="Times New Roman"/>
          <w:i/>
          <w:szCs w:val="24"/>
          <w:lang w:eastAsia="cs-CZ"/>
        </w:rPr>
        <w:t>Misesovo</w:t>
      </w:r>
      <w:proofErr w:type="spellEnd"/>
      <w:r>
        <w:rPr>
          <w:rFonts w:ascii="Times New Roman" w:eastAsia="Times New Roman" w:hAnsi="Times New Roman" w:cs="Times New Roman"/>
          <w:i/>
          <w:szCs w:val="24"/>
          <w:lang w:eastAsia="cs-CZ"/>
        </w:rPr>
        <w:t>) napětí [MPa] pro případ LC01 a LC02</w:t>
      </w:r>
    </w:p>
    <w:p w14:paraId="77E384E5" w14:textId="5491CC56" w:rsidR="00C029BA" w:rsidRDefault="00C029BA" w:rsidP="00C029BA">
      <w:pPr>
        <w:jc w:val="center"/>
      </w:pPr>
      <w:r>
        <w:rPr>
          <w:noProof/>
        </w:rPr>
        <w:lastRenderedPageBreak/>
        <w:drawing>
          <wp:inline distT="0" distB="0" distL="0" distR="0" wp14:anchorId="47CC3571" wp14:editId="7049A6D2">
            <wp:extent cx="2257425" cy="2600325"/>
            <wp:effectExtent l="0" t="0" r="9525" b="9525"/>
            <wp:docPr id="19725071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2AFD75" wp14:editId="402D3E52">
            <wp:extent cx="3038475" cy="2409825"/>
            <wp:effectExtent l="0" t="0" r="9525" b="9525"/>
            <wp:docPr id="35853431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4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35E2" w14:textId="599C0BA6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8 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>Ekvivalentní (von-</w:t>
      </w:r>
      <w:proofErr w:type="spellStart"/>
      <w:r>
        <w:rPr>
          <w:rFonts w:ascii="Times New Roman" w:eastAsia="Times New Roman" w:hAnsi="Times New Roman" w:cs="Times New Roman"/>
          <w:i/>
          <w:szCs w:val="24"/>
          <w:lang w:eastAsia="cs-CZ"/>
        </w:rPr>
        <w:t>Misesovo</w:t>
      </w:r>
      <w:proofErr w:type="spellEnd"/>
      <w:r>
        <w:rPr>
          <w:rFonts w:ascii="Times New Roman" w:eastAsia="Times New Roman" w:hAnsi="Times New Roman" w:cs="Times New Roman"/>
          <w:i/>
          <w:szCs w:val="24"/>
          <w:lang w:eastAsia="cs-CZ"/>
        </w:rPr>
        <w:t>) napětí [MPa] pro dva rozdílné typy táhel</w:t>
      </w:r>
    </w:p>
    <w:p w14:paraId="15160023" w14:textId="77777777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Srovnání případů 1 a 2 ukazuje vliv tepelné dilatace závěsných popruhů. Ve většině případů s teplotním zatížením jsou závěsné popruhy přetížené.</w:t>
      </w:r>
    </w:p>
    <w:p w14:paraId="080FFAE3" w14:textId="77777777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Případ 3 versus případ 4 ukazuje svislé zatížení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dolů pro čtyři a dva závěsné popruhy. Model se dvěma závěsnými popruhy se zdá být dobrý, ale je třeba jej ještě vylepšit. Například je zde vyšší reakce do labyrintu.</w:t>
      </w:r>
    </w:p>
    <w:p w14:paraId="68188478" w14:textId="77777777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Svar mezi kruhovou deskou a vnitřní nádobou vykazuje vysoké napětí a také vidlice čepu. Tato místa je třeba podrobněji vyhodnotit.</w:t>
      </w:r>
    </w:p>
    <w:p w14:paraId="0F9EDDAB" w14:textId="6A417B2C" w:rsidR="00C029BA" w:rsidRDefault="00C029BA" w:rsidP="00C029BA">
      <w:pPr>
        <w:jc w:val="center"/>
      </w:pPr>
      <w:r>
        <w:rPr>
          <w:noProof/>
        </w:rPr>
        <w:drawing>
          <wp:inline distT="0" distB="0" distL="0" distR="0" wp14:anchorId="0C4A16F9" wp14:editId="6DF1A485">
            <wp:extent cx="2867025" cy="3086100"/>
            <wp:effectExtent l="0" t="0" r="9525" b="0"/>
            <wp:docPr id="31657924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4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9614" w14:textId="2F2A9A1C" w:rsidR="00C029BA" w:rsidRDefault="00C029BA" w:rsidP="00C029BA">
      <w:pPr>
        <w:jc w:val="center"/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9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Labyrintová podpěra namáhaná tlakem </w:t>
      </w:r>
    </w:p>
    <w:p w14:paraId="174C5682" w14:textId="78B2D15A" w:rsidR="00C029BA" w:rsidRDefault="00C029BA" w:rsidP="00C029BA">
      <w:pPr>
        <w:jc w:val="center"/>
      </w:pPr>
      <w:r>
        <w:rPr>
          <w:noProof/>
        </w:rPr>
        <w:lastRenderedPageBreak/>
        <w:drawing>
          <wp:inline distT="0" distB="0" distL="0" distR="0" wp14:anchorId="115FFB0B" wp14:editId="6AB9E5D3">
            <wp:extent cx="3571875" cy="2914650"/>
            <wp:effectExtent l="0" t="0" r="9525" b="0"/>
            <wp:docPr id="205694394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4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7983" w14:textId="14C199CF" w:rsidR="00C029BA" w:rsidRDefault="00C029BA" w:rsidP="00C029BA">
      <w:pPr>
        <w:jc w:val="center"/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10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Labyrintová podpěra namáhaná tahem</w:t>
      </w:r>
    </w:p>
    <w:p w14:paraId="0F0590F3" w14:textId="77777777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Labyrint vykazuje nižší napětí, když na něj tlačí vnitřní nádoba. Když vnitřní nádoba labyrint táhne, existuje několik míst, kde se napětí zvýší nad přípustnou mez.</w:t>
      </w:r>
    </w:p>
    <w:p w14:paraId="63968581" w14:textId="77777777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Model zanedbává kontakt na bocích trubek. To způsobuje přetížení svaru a konzervativnější výsledky.</w:t>
      </w:r>
    </w:p>
    <w:p w14:paraId="19F4B352" w14:textId="77777777" w:rsidR="005F057B" w:rsidRDefault="00C029BA" w:rsidP="005F057B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 výsledků vyplývá, že nejkritičtějším směrem pro labyrint je směr X. Měla by být povolena volná podélná dilatace vnitřní nádoby.</w:t>
      </w:r>
      <w:bookmarkStart w:id="2" w:name="_Toc134707369"/>
    </w:p>
    <w:p w14:paraId="4B2855C0" w14:textId="2DC281A7" w:rsidR="00C029BA" w:rsidRPr="005F057B" w:rsidRDefault="00C029BA" w:rsidP="005F057B">
      <w:pPr>
        <w:pStyle w:val="Nadpis1"/>
        <w:numPr>
          <w:ilvl w:val="0"/>
          <w:numId w:val="1"/>
        </w:numPr>
        <w:spacing w:after="240"/>
        <w:ind w:left="357" w:hanging="357"/>
        <w:rPr>
          <w:rFonts w:ascii="Times New Roman" w:eastAsia="Times New Roman" w:hAnsi="Times New Roman" w:cs="Arial"/>
          <w:b/>
          <w:bCs/>
          <w:iCs/>
          <w:caps/>
          <w:color w:val="auto"/>
          <w:sz w:val="26"/>
          <w:szCs w:val="28"/>
          <w:lang w:eastAsia="cs-CZ"/>
        </w:rPr>
      </w:pPr>
      <w:r w:rsidRPr="005F057B">
        <w:rPr>
          <w:rFonts w:ascii="Times New Roman" w:eastAsia="Times New Roman" w:hAnsi="Times New Roman" w:cs="Arial"/>
          <w:b/>
          <w:bCs/>
          <w:iCs/>
          <w:caps/>
          <w:color w:val="auto"/>
          <w:sz w:val="26"/>
          <w:szCs w:val="28"/>
          <w:lang w:eastAsia="cs-CZ"/>
        </w:rPr>
        <w:t>Táhla na obou stranách</w:t>
      </w:r>
      <w:bookmarkEnd w:id="2"/>
    </w:p>
    <w:p w14:paraId="656E78A5" w14:textId="77777777" w:rsidR="00C029BA" w:rsidRDefault="00C029BA" w:rsidP="00C029B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Jako druhou variantou byla zvolena kombinace táhel po obou stranách. Předepjatí táhel pod správným úhlem nám umožní vyrovnat nádobu po podchlazení a zároveň zajistit dostatečnou tuhost při přepravě, aby nedošlo k proražení vnitřní nádoby skrze vnější dno nádoby vlivem rázů při přepravě.</w:t>
      </w:r>
    </w:p>
    <w:p w14:paraId="5A17403C" w14:textId="77777777" w:rsidR="00C029BA" w:rsidRDefault="00C029BA" w:rsidP="00C029BA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Základní parametry, se kterými je nutno počítat:</w:t>
      </w:r>
    </w:p>
    <w:p w14:paraId="49082606" w14:textId="77777777" w:rsidR="00C029BA" w:rsidRDefault="00C029BA" w:rsidP="00C029BA">
      <w:pPr>
        <w:pStyle w:val="Odstavecseseznamem"/>
        <w:numPr>
          <w:ilvl w:val="0"/>
          <w:numId w:val="2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Rozložená hmota na vnitřní nádobě: dodatečná hmotnost a obsah jsou 4450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kg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 + 1000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kg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 + 3300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kg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 + 1245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kg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</w:p>
    <w:p w14:paraId="58A7810E" w14:textId="77777777" w:rsidR="00C029BA" w:rsidRDefault="00C029BA" w:rsidP="00C029BA">
      <w:pPr>
        <w:pStyle w:val="Odstavecseseznamem"/>
        <w:numPr>
          <w:ilvl w:val="0"/>
          <w:numId w:val="2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Rozložená hmota na vnější nádobě: přídavná hmotnost 3800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kg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 + 500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kg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</w:p>
    <w:p w14:paraId="2D0EDDDD" w14:textId="77777777" w:rsidR="00C029BA" w:rsidRDefault="00C029BA" w:rsidP="00C029BA">
      <w:pPr>
        <w:pStyle w:val="Odstavecseseznamem"/>
        <w:numPr>
          <w:ilvl w:val="0"/>
          <w:numId w:val="2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Tlak 0,1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MPa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 na vnější plášť vlivem vakua</w:t>
      </w:r>
    </w:p>
    <w:p w14:paraId="2E6230B7" w14:textId="77777777" w:rsidR="00C029BA" w:rsidRDefault="00C029BA" w:rsidP="00C029BA">
      <w:pPr>
        <w:pStyle w:val="Odstavecseseznamem"/>
        <w:numPr>
          <w:ilvl w:val="0"/>
          <w:numId w:val="2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Tlak 1,1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MPa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 na vnitřní nádobě v důsledku přetlaku v nádobě</w:t>
      </w:r>
    </w:p>
    <w:p w14:paraId="07F3B69F" w14:textId="77777777" w:rsidR="00C029BA" w:rsidRDefault="00C029BA" w:rsidP="00C029BA">
      <w:pPr>
        <w:pStyle w:val="Odstavecseseznamem"/>
        <w:numPr>
          <w:ilvl w:val="0"/>
          <w:numId w:val="2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Teplota -253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°C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 na vnitřní nádobě</w:t>
      </w:r>
    </w:p>
    <w:p w14:paraId="2BB1B8F2" w14:textId="77777777" w:rsidR="00C029BA" w:rsidRDefault="00C029BA" w:rsidP="00C029BA">
      <w:pPr>
        <w:pStyle w:val="Odstavecseseznamem"/>
        <w:numPr>
          <w:ilvl w:val="0"/>
          <w:numId w:val="2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Teplota -137 [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°C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] na všech délkách závěsných popruhů</w:t>
      </w:r>
    </w:p>
    <w:p w14:paraId="5C10E4D1" w14:textId="2B8E3253" w:rsidR="00C029BA" w:rsidRDefault="00C029BA" w:rsidP="00C029BA">
      <w:pPr>
        <w:jc w:val="center"/>
      </w:pPr>
      <w:r>
        <w:rPr>
          <w:noProof/>
        </w:rPr>
        <w:lastRenderedPageBreak/>
        <w:drawing>
          <wp:inline distT="0" distB="0" distL="0" distR="0" wp14:anchorId="2A2E99C6" wp14:editId="4F27239E">
            <wp:extent cx="2152650" cy="2981325"/>
            <wp:effectExtent l="0" t="0" r="0" b="9525"/>
            <wp:docPr id="194053298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4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8CE01C7" wp14:editId="5BD52FD7">
            <wp:extent cx="2990850" cy="2533650"/>
            <wp:effectExtent l="0" t="0" r="0" b="0"/>
            <wp:docPr id="63050360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4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1C04" w14:textId="44D286CD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11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4"/>
          <w:lang w:eastAsia="cs-CZ"/>
        </w:rPr>
        <w:t>Radialní</w:t>
      </w:r>
      <w:proofErr w:type="spellEnd"/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uchycení za pomoci táhel s vyztužením na vnitřní straně dna za účelem redukce dvou spodních táhel</w:t>
      </w:r>
    </w:p>
    <w:p w14:paraId="6A6A831E" w14:textId="77777777" w:rsidR="00C029BA" w:rsidRDefault="00C029BA" w:rsidP="00C029BA">
      <w:pPr>
        <w:spacing w:after="12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Závěsné popruhy jsou z nerezových trubek. Úhel dostatečně velký, aby pokryl tepelnou dilataci. </w:t>
      </w:r>
    </w:p>
    <w:p w14:paraId="1335028C" w14:textId="6C8FD9FD" w:rsidR="00C029BA" w:rsidRDefault="00C029BA" w:rsidP="00C029BA">
      <w:pPr>
        <w:jc w:val="center"/>
      </w:pPr>
      <w:r>
        <w:rPr>
          <w:noProof/>
        </w:rPr>
        <w:drawing>
          <wp:inline distT="0" distB="0" distL="0" distR="0" wp14:anchorId="7227245E" wp14:editId="698D4B55">
            <wp:extent cx="5305425" cy="2495550"/>
            <wp:effectExtent l="0" t="0" r="9525" b="0"/>
            <wp:docPr id="59471097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49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76DE" w14:textId="472B9BE9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12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Koncept kontejneru s uchycením táhla na obou stranách</w:t>
      </w:r>
    </w:p>
    <w:p w14:paraId="2D7023D4" w14:textId="03B27CB3" w:rsidR="00C029BA" w:rsidRDefault="00C029BA" w:rsidP="00C029B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Závěsné popruhy jsou velmi namáhány tepelnou dilatací a tíhovou silou viz obrázek (</w:t>
      </w:r>
      <w:r w:rsidR="009F17BF">
        <w:rPr>
          <w:rFonts w:ascii="Times New Roman" w:eastAsia="Times New Roman" w:hAnsi="Times New Roman" w:cs="Times New Roman"/>
          <w:sz w:val="24"/>
          <w:szCs w:val="24"/>
          <w:lang w:eastAsia="cs-CZ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). Na obrázku (</w:t>
      </w:r>
      <w:r w:rsidR="009F17BF">
        <w:rPr>
          <w:rFonts w:ascii="Times New Roman" w:eastAsia="Times New Roman" w:hAnsi="Times New Roman" w:cs="Times New Roman"/>
          <w:sz w:val="24"/>
          <w:szCs w:val="24"/>
          <w:lang w:eastAsia="cs-CZ"/>
        </w:rPr>
        <w:t>14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 lze vidět napětí působící na výztužný prstenec, na kterém jsou táhla uchycená a zároveň uchycení na vrcholu dna vnitřní nádoby.</w:t>
      </w:r>
    </w:p>
    <w:p w14:paraId="421B3530" w14:textId="35382E62" w:rsidR="00C029BA" w:rsidRDefault="00C029BA" w:rsidP="00C029B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2AB100D" wp14:editId="160E1494">
            <wp:extent cx="2676525" cy="2676525"/>
            <wp:effectExtent l="0" t="0" r="9525" b="9525"/>
            <wp:docPr id="11180619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49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939DC2" wp14:editId="3162B926">
            <wp:extent cx="2638425" cy="2581275"/>
            <wp:effectExtent l="0" t="0" r="9525" b="9525"/>
            <wp:docPr id="202701498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5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3C9E" w14:textId="5F183E9B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13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Ekvivalentní (von-</w:t>
      </w:r>
      <w:proofErr w:type="spellStart"/>
      <w:r>
        <w:rPr>
          <w:rFonts w:ascii="Times New Roman" w:eastAsia="Times New Roman" w:hAnsi="Times New Roman" w:cs="Times New Roman"/>
          <w:i/>
          <w:szCs w:val="24"/>
          <w:lang w:eastAsia="cs-CZ"/>
        </w:rPr>
        <w:t>Misesovo</w:t>
      </w:r>
      <w:proofErr w:type="spellEnd"/>
      <w:r>
        <w:rPr>
          <w:rFonts w:ascii="Times New Roman" w:eastAsia="Times New Roman" w:hAnsi="Times New Roman" w:cs="Times New Roman"/>
          <w:i/>
          <w:szCs w:val="24"/>
          <w:lang w:eastAsia="cs-CZ"/>
        </w:rPr>
        <w:t>) napětí [MPa]</w:t>
      </w:r>
    </w:p>
    <w:p w14:paraId="71264C7E" w14:textId="77777777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</w:p>
    <w:p w14:paraId="65516878" w14:textId="77777777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</w:p>
    <w:p w14:paraId="7F21B69B" w14:textId="12BCE6D4" w:rsidR="00C029BA" w:rsidRDefault="00C029BA" w:rsidP="00C029B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180FEA" wp14:editId="79F6F90A">
            <wp:extent cx="3067050" cy="2657475"/>
            <wp:effectExtent l="0" t="0" r="0" b="9525"/>
            <wp:docPr id="53501699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5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7276831" wp14:editId="2DF0687E">
            <wp:extent cx="2238375" cy="2819400"/>
            <wp:effectExtent l="0" t="0" r="9525" b="0"/>
            <wp:docPr id="14029379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5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7518B" w14:textId="32D1BF6A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14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Ekvivalentní (von-</w:t>
      </w:r>
      <w:proofErr w:type="spellStart"/>
      <w:r>
        <w:rPr>
          <w:rFonts w:ascii="Times New Roman" w:eastAsia="Times New Roman" w:hAnsi="Times New Roman" w:cs="Times New Roman"/>
          <w:i/>
          <w:szCs w:val="24"/>
          <w:lang w:eastAsia="cs-CZ"/>
        </w:rPr>
        <w:t>Misesovo</w:t>
      </w:r>
      <w:proofErr w:type="spellEnd"/>
      <w:r>
        <w:rPr>
          <w:rFonts w:ascii="Times New Roman" w:eastAsia="Times New Roman" w:hAnsi="Times New Roman" w:cs="Times New Roman"/>
          <w:i/>
          <w:szCs w:val="24"/>
          <w:lang w:eastAsia="cs-CZ"/>
        </w:rPr>
        <w:t>) napětí [MPa]</w:t>
      </w:r>
    </w:p>
    <w:p w14:paraId="55B01770" w14:textId="77777777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</w:p>
    <w:p w14:paraId="5F800AA3" w14:textId="77777777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</w:p>
    <w:p w14:paraId="4E24FF15" w14:textId="77777777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</w:p>
    <w:p w14:paraId="7C5AA9BC" w14:textId="77777777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</w:p>
    <w:p w14:paraId="3D2E7AB9" w14:textId="1AA6EE92" w:rsidR="00C029BA" w:rsidRDefault="00C029BA" w:rsidP="00C029BA">
      <w:pPr>
        <w:jc w:val="center"/>
      </w:pPr>
      <w:r>
        <w:rPr>
          <w:noProof/>
        </w:rPr>
        <w:lastRenderedPageBreak/>
        <w:drawing>
          <wp:inline distT="0" distB="0" distL="0" distR="0" wp14:anchorId="5DD4CDA8" wp14:editId="42679409">
            <wp:extent cx="5343525" cy="1200150"/>
            <wp:effectExtent l="0" t="0" r="9525" b="0"/>
            <wp:docPr id="6819074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45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6D490" w14:textId="247E03FE" w:rsidR="00C029BA" w:rsidRDefault="00C029BA" w:rsidP="00C029BA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15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Deformace [mm]</w:t>
      </w:r>
    </w:p>
    <w:p w14:paraId="5BB56B7B" w14:textId="5C467138" w:rsidR="00C029BA" w:rsidRDefault="00C029BA" w:rsidP="00C029BA">
      <w:pPr>
        <w:jc w:val="center"/>
      </w:pPr>
      <w:r>
        <w:rPr>
          <w:noProof/>
        </w:rPr>
        <w:drawing>
          <wp:inline distT="0" distB="0" distL="0" distR="0" wp14:anchorId="47E2862A" wp14:editId="60CAB9CA">
            <wp:extent cx="4362450" cy="4095750"/>
            <wp:effectExtent l="0" t="0" r="0" b="0"/>
            <wp:docPr id="11482973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B29E" w14:textId="77777777" w:rsidR="00872A63" w:rsidRDefault="00C029BA" w:rsidP="00872A63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Obr. </w:t>
      </w:r>
      <w:r w:rsidR="009F17BF">
        <w:rPr>
          <w:rFonts w:ascii="Times New Roman" w:eastAsia="Times New Roman" w:hAnsi="Times New Roman" w:cs="Times New Roman"/>
          <w:i/>
          <w:szCs w:val="24"/>
          <w:lang w:eastAsia="cs-CZ"/>
        </w:rPr>
        <w:t>16</w:t>
      </w:r>
      <w:r>
        <w:rPr>
          <w:rFonts w:ascii="Times New Roman" w:eastAsia="Times New Roman" w:hAnsi="Times New Roman" w:cs="Times New Roman"/>
          <w:i/>
          <w:szCs w:val="24"/>
          <w:lang w:eastAsia="cs-CZ"/>
        </w:rPr>
        <w:t xml:space="preserve"> Vliv tepelných dilatací na táhla</w:t>
      </w:r>
      <w:bookmarkStart w:id="3" w:name="_Toc134707375"/>
    </w:p>
    <w:p w14:paraId="454124CC" w14:textId="77777777" w:rsidR="00872A63" w:rsidRDefault="00872A63" w:rsidP="00872A63">
      <w:pPr>
        <w:jc w:val="center"/>
        <w:rPr>
          <w:rFonts w:ascii="Times New Roman" w:eastAsia="Times New Roman" w:hAnsi="Times New Roman" w:cs="Times New Roman"/>
          <w:i/>
          <w:szCs w:val="24"/>
          <w:lang w:eastAsia="cs-CZ"/>
        </w:rPr>
      </w:pPr>
    </w:p>
    <w:p w14:paraId="2DFA9921" w14:textId="19466F2C" w:rsidR="00872A63" w:rsidRPr="00872A63" w:rsidRDefault="00872A63" w:rsidP="00872A63">
      <w:pPr>
        <w:pStyle w:val="Nadpis1"/>
        <w:numPr>
          <w:ilvl w:val="0"/>
          <w:numId w:val="1"/>
        </w:numPr>
        <w:spacing w:after="240"/>
        <w:ind w:left="357" w:hanging="357"/>
        <w:rPr>
          <w:rFonts w:ascii="Times New Roman" w:eastAsia="Times New Roman" w:hAnsi="Times New Roman" w:cs="Arial"/>
          <w:b/>
          <w:bCs/>
          <w:iCs/>
          <w:caps/>
          <w:color w:val="auto"/>
          <w:sz w:val="26"/>
          <w:szCs w:val="28"/>
          <w:lang w:eastAsia="cs-CZ"/>
        </w:rPr>
      </w:pPr>
      <w:r w:rsidRPr="00872A63">
        <w:rPr>
          <w:rFonts w:ascii="Times New Roman" w:eastAsia="Times New Roman" w:hAnsi="Times New Roman" w:cs="Arial"/>
          <w:b/>
          <w:bCs/>
          <w:iCs/>
          <w:caps/>
          <w:color w:val="auto"/>
          <w:sz w:val="26"/>
          <w:szCs w:val="28"/>
          <w:lang w:eastAsia="cs-CZ"/>
        </w:rPr>
        <w:t>Závěr</w:t>
      </w:r>
      <w:bookmarkEnd w:id="3"/>
    </w:p>
    <w:p w14:paraId="01D153F2" w14:textId="77777777" w:rsidR="00872A63" w:rsidRDefault="00872A63" w:rsidP="00872A63">
      <w:pPr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Byl zhotoven návrh uchycení vnitřní tlakové nádoby pro přepravu kapalného vodíku po pozemních, železničních komunikacích a pro lodní přepravu. Návrh byl zkonstruován dle platných předpisů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ČSN EN 13530-2 a zkontrolován dle ADR části 6.7.</w:t>
      </w:r>
    </w:p>
    <w:p w14:paraId="568E0CEE" w14:textId="77777777" w:rsidR="00872A63" w:rsidRDefault="00872A63" w:rsidP="00872A63">
      <w:pPr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Byl proveden návrh varianty uchycení a vybraná varianta byla detailně prozkoumána a technicky zhodnocena. Každý zatěžovací stav pevnostní analýzy MKP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byl posouzen podle zásad normy ISO 1496-3.</w:t>
      </w:r>
    </w:p>
    <w:p w14:paraId="53A50955" w14:textId="2292F223" w:rsidR="00B91171" w:rsidRPr="00C029BA" w:rsidRDefault="00872A63" w:rsidP="00872A6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 pevnostní analýze vybrané varianty se vyskytuje několik lokálních napětí v uzlech, které překračují mezní hodnotu. Avšak tato lokální napětí v rámci celku řešeného průřezu nejsou podstatná. Tyto lokality mohou způsobit nepatrnou plastickou deformaci, která nepovede ke ztrátě stability ani k překročení pevnosti materiálu, a proto jsou v rámci normy ISO 1496-3 akceptovatelná. Tato lokální napětí vznikají především v důsledku koncentrace napětí ve svaru.</w:t>
      </w:r>
    </w:p>
    <w:sectPr w:rsidR="00B91171" w:rsidRPr="00C02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A5BD3" w14:textId="77777777" w:rsidR="00872A63" w:rsidRDefault="00872A63" w:rsidP="00872A63">
      <w:pPr>
        <w:spacing w:after="0" w:line="240" w:lineRule="auto"/>
      </w:pPr>
      <w:r>
        <w:separator/>
      </w:r>
    </w:p>
  </w:endnote>
  <w:endnote w:type="continuationSeparator" w:id="0">
    <w:p w14:paraId="306F16AB" w14:textId="77777777" w:rsidR="00872A63" w:rsidRDefault="00872A63" w:rsidP="00872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CCA52" w14:textId="77777777" w:rsidR="00872A63" w:rsidRDefault="00872A63" w:rsidP="00872A63">
      <w:pPr>
        <w:spacing w:after="0" w:line="240" w:lineRule="auto"/>
      </w:pPr>
      <w:r>
        <w:separator/>
      </w:r>
    </w:p>
  </w:footnote>
  <w:footnote w:type="continuationSeparator" w:id="0">
    <w:p w14:paraId="605AF6A1" w14:textId="77777777" w:rsidR="00872A63" w:rsidRDefault="00872A63" w:rsidP="00872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F68CC"/>
    <w:multiLevelType w:val="hybridMultilevel"/>
    <w:tmpl w:val="35381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A50F4"/>
    <w:multiLevelType w:val="hybridMultilevel"/>
    <w:tmpl w:val="F1BEC66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397D3B4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14C49C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EFD660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BFF69BB"/>
    <w:multiLevelType w:val="hybridMultilevel"/>
    <w:tmpl w:val="1AD4A7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8604662">
    <w:abstractNumId w:val="4"/>
  </w:num>
  <w:num w:numId="2" w16cid:durableId="200392641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226257105">
    <w:abstractNumId w:val="0"/>
  </w:num>
  <w:num w:numId="4" w16cid:durableId="896891729">
    <w:abstractNumId w:val="1"/>
  </w:num>
  <w:num w:numId="5" w16cid:durableId="683481879">
    <w:abstractNumId w:val="5"/>
  </w:num>
  <w:num w:numId="6" w16cid:durableId="875654356">
    <w:abstractNumId w:val="3"/>
  </w:num>
  <w:num w:numId="7" w16cid:durableId="1365713466">
    <w:abstractNumId w:val="2"/>
  </w:num>
  <w:num w:numId="8" w16cid:durableId="7586009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B0F"/>
    <w:rsid w:val="000B3BC4"/>
    <w:rsid w:val="000D3EB3"/>
    <w:rsid w:val="000F2222"/>
    <w:rsid w:val="001A191B"/>
    <w:rsid w:val="003662C3"/>
    <w:rsid w:val="00454E57"/>
    <w:rsid w:val="004573B9"/>
    <w:rsid w:val="00494175"/>
    <w:rsid w:val="00592474"/>
    <w:rsid w:val="005F057B"/>
    <w:rsid w:val="00612031"/>
    <w:rsid w:val="00627B0F"/>
    <w:rsid w:val="00781E41"/>
    <w:rsid w:val="00872A63"/>
    <w:rsid w:val="009E6BC1"/>
    <w:rsid w:val="009F17BF"/>
    <w:rsid w:val="00B91171"/>
    <w:rsid w:val="00C0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442BC"/>
  <w15:chartTrackingRefBased/>
  <w15:docId w15:val="{85B7EF70-5555-4D70-8738-358815D5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29BA"/>
    <w:pPr>
      <w:spacing w:line="256" w:lineRule="auto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qFormat/>
    <w:rsid w:val="00C02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29B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Odstavecseseznamem">
    <w:name w:val="List Paragraph"/>
    <w:basedOn w:val="Normln"/>
    <w:uiPriority w:val="34"/>
    <w:qFormat/>
    <w:rsid w:val="00C029BA"/>
    <w:pPr>
      <w:ind w:left="720"/>
      <w:contextualSpacing/>
    </w:pPr>
  </w:style>
  <w:style w:type="table" w:styleId="Mkatabulky">
    <w:name w:val="Table Grid"/>
    <w:basedOn w:val="Normlntabulka"/>
    <w:uiPriority w:val="39"/>
    <w:rsid w:val="00454E57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72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2A63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872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72A6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920</Words>
  <Characters>5429</Characters>
  <Application>Microsoft Office Word</Application>
  <DocSecurity>0</DocSecurity>
  <Lines>45</Lines>
  <Paragraphs>12</Paragraphs>
  <ScaleCrop>false</ScaleCrop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 Laskoš</dc:creator>
  <cp:keywords/>
  <dc:description/>
  <cp:lastModifiedBy>Vít Laskoš</cp:lastModifiedBy>
  <cp:revision>16</cp:revision>
  <dcterms:created xsi:type="dcterms:W3CDTF">2023-10-23T08:40:00Z</dcterms:created>
  <dcterms:modified xsi:type="dcterms:W3CDTF">2023-10-23T09:00:00Z</dcterms:modified>
</cp:coreProperties>
</file>